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39" w:rsidRPr="001039FB" w:rsidRDefault="00F94626" w:rsidP="00223CCC">
      <w:pPr>
        <w:autoSpaceDE w:val="0"/>
        <w:autoSpaceDN w:val="0"/>
        <w:adjustRightInd w:val="0"/>
        <w:spacing w:after="0" w:line="240" w:lineRule="auto"/>
        <w:jc w:val="center"/>
        <w:rPr>
          <w:rFonts w:ascii="Book Antiqua" w:hAnsi="Book Antiqua" w:cstheme="majorBidi"/>
          <w:color w:val="C00000"/>
          <w:sz w:val="24"/>
          <w:szCs w:val="24"/>
        </w:rPr>
      </w:pPr>
      <w:r w:rsidRPr="001039FB">
        <w:rPr>
          <w:rFonts w:ascii="Book Antiqua" w:hAnsi="Book Antiqua"/>
          <w:noProof/>
          <w:lang w:eastAsia="fr-FR"/>
        </w:rPr>
        <w:drawing>
          <wp:anchor distT="0" distB="0" distL="0" distR="0" simplePos="0" relativeHeight="251659264" behindDoc="0" locked="0" layoutInCell="1" allowOverlap="1">
            <wp:simplePos x="0" y="0"/>
            <wp:positionH relativeFrom="margin">
              <wp:posOffset>0</wp:posOffset>
            </wp:positionH>
            <wp:positionV relativeFrom="paragraph">
              <wp:posOffset>177800</wp:posOffset>
            </wp:positionV>
            <wp:extent cx="5756910" cy="1116124"/>
            <wp:effectExtent l="0" t="0" r="0" b="8255"/>
            <wp:wrapSquare wrapText="bothSides" distT="0" distB="0" distL="0" distR="0"/>
            <wp:docPr id="2" name="image1.jpg" descr="C:\Users\h.kaikai\Desktop\Dossier Asmaa\entete nv Uh2C.jpg"/>
            <wp:cNvGraphicFramePr/>
            <a:graphic xmlns:a="http://schemas.openxmlformats.org/drawingml/2006/main">
              <a:graphicData uri="http://schemas.openxmlformats.org/drawingml/2006/picture">
                <pic:pic xmlns:pic="http://schemas.openxmlformats.org/drawingml/2006/picture">
                  <pic:nvPicPr>
                    <pic:cNvPr id="0" name="image1.jpg" descr="C:\Users\h.kaikai\Desktop\Dossier Asmaa\entete nv Uh2C.jpg"/>
                    <pic:cNvPicPr preferRelativeResize="0"/>
                  </pic:nvPicPr>
                  <pic:blipFill>
                    <a:blip r:embed="rId8" cstate="print"/>
                    <a:srcRect/>
                    <a:stretch>
                      <a:fillRect/>
                    </a:stretch>
                  </pic:blipFill>
                  <pic:spPr>
                    <a:xfrm>
                      <a:off x="0" y="0"/>
                      <a:ext cx="5756910" cy="1116124"/>
                    </a:xfrm>
                    <a:prstGeom prst="rect">
                      <a:avLst/>
                    </a:prstGeom>
                    <a:ln/>
                  </pic:spPr>
                </pic:pic>
              </a:graphicData>
            </a:graphic>
          </wp:anchor>
        </w:drawing>
      </w:r>
    </w:p>
    <w:p w:rsidR="007C148F" w:rsidRDefault="007C148F" w:rsidP="00903FAE">
      <w:pPr>
        <w:autoSpaceDE w:val="0"/>
        <w:autoSpaceDN w:val="0"/>
        <w:adjustRightInd w:val="0"/>
        <w:spacing w:after="0" w:line="240" w:lineRule="auto"/>
        <w:jc w:val="center"/>
        <w:rPr>
          <w:rFonts w:ascii="Book Antiqua" w:hAnsi="Book Antiqua" w:cstheme="majorBidi"/>
          <w:b/>
          <w:bCs/>
          <w:color w:val="4F81BD" w:themeColor="accent1"/>
          <w:sz w:val="48"/>
          <w:szCs w:val="48"/>
        </w:rPr>
      </w:pPr>
      <w:r w:rsidRPr="001039FB">
        <w:rPr>
          <w:rFonts w:ascii="Book Antiqua" w:hAnsi="Book Antiqua" w:cstheme="majorBidi"/>
          <w:b/>
          <w:bCs/>
          <w:color w:val="4F81BD" w:themeColor="accent1"/>
          <w:sz w:val="48"/>
          <w:szCs w:val="48"/>
        </w:rPr>
        <w:t>Charte des Thèses</w:t>
      </w:r>
    </w:p>
    <w:p w:rsidR="00BC7184" w:rsidRPr="00BC7184" w:rsidRDefault="00BC7184" w:rsidP="00903FAE">
      <w:pPr>
        <w:autoSpaceDE w:val="0"/>
        <w:autoSpaceDN w:val="0"/>
        <w:adjustRightInd w:val="0"/>
        <w:spacing w:after="0" w:line="240" w:lineRule="auto"/>
        <w:jc w:val="center"/>
        <w:rPr>
          <w:rFonts w:ascii="Book Antiqua" w:hAnsi="Book Antiqua" w:cstheme="majorBidi"/>
          <w:b/>
          <w:bCs/>
          <w:color w:val="4F81BD" w:themeColor="accent1"/>
          <w:sz w:val="24"/>
          <w:szCs w:val="24"/>
        </w:rPr>
      </w:pPr>
      <w:r w:rsidRPr="00BC7184">
        <w:rPr>
          <w:rFonts w:ascii="Book Antiqua" w:hAnsi="Book Antiqua" w:cstheme="majorBidi"/>
          <w:b/>
          <w:bCs/>
          <w:color w:val="4F81BD" w:themeColor="accent1"/>
          <w:sz w:val="24"/>
          <w:szCs w:val="24"/>
        </w:rPr>
        <w:t>Adoptée par le conseil de l’Université</w:t>
      </w:r>
      <w:r w:rsidR="00E37199">
        <w:rPr>
          <w:rFonts w:ascii="Book Antiqua" w:hAnsi="Book Antiqua" w:cstheme="majorBidi"/>
          <w:b/>
          <w:bCs/>
          <w:color w:val="4F81BD" w:themeColor="accent1"/>
          <w:sz w:val="24"/>
          <w:szCs w:val="24"/>
        </w:rPr>
        <w:t xml:space="preserve"> </w:t>
      </w:r>
      <w:r w:rsidR="00783BE3">
        <w:rPr>
          <w:rFonts w:ascii="Book Antiqua" w:hAnsi="Book Antiqua" w:cstheme="majorBidi"/>
          <w:b/>
          <w:bCs/>
          <w:color w:val="4F81BD" w:themeColor="accent1"/>
          <w:sz w:val="24"/>
          <w:szCs w:val="24"/>
        </w:rPr>
        <w:t>Mai 2021</w:t>
      </w:r>
    </w:p>
    <w:p w:rsidR="000F0F25" w:rsidRPr="001039FB" w:rsidRDefault="00DD7813" w:rsidP="00903FAE">
      <w:pPr>
        <w:autoSpaceDE w:val="0"/>
        <w:autoSpaceDN w:val="0"/>
        <w:adjustRightInd w:val="0"/>
        <w:spacing w:after="0" w:line="240" w:lineRule="auto"/>
        <w:jc w:val="center"/>
        <w:rPr>
          <w:rFonts w:ascii="Book Antiqua" w:hAnsi="Book Antiqua" w:cstheme="majorBidi"/>
          <w:b/>
          <w:bCs/>
          <w:color w:val="000099"/>
          <w:sz w:val="24"/>
          <w:szCs w:val="24"/>
        </w:rPr>
      </w:pPr>
      <w:r w:rsidRPr="001039FB">
        <w:rPr>
          <w:rFonts w:ascii="Book Antiqua" w:hAnsi="Book Antiqua" w:cstheme="majorBidi"/>
          <w:b/>
          <w:bCs/>
          <w:color w:val="000099"/>
          <w:sz w:val="24"/>
          <w:szCs w:val="24"/>
        </w:rPr>
        <w:t>--</w:t>
      </w:r>
      <w:r w:rsidR="00B95031" w:rsidRPr="001039FB">
        <w:rPr>
          <w:rFonts w:ascii="Book Antiqua" w:hAnsi="Book Antiqua" w:cstheme="majorBidi"/>
          <w:b/>
          <w:bCs/>
          <w:color w:val="000099"/>
          <w:sz w:val="24"/>
          <w:szCs w:val="24"/>
        </w:rPr>
        <w:t>--------------------------</w:t>
      </w:r>
    </w:p>
    <w:p w:rsidR="00A37F70" w:rsidRPr="001039FB" w:rsidRDefault="00A37F70" w:rsidP="00903FAE">
      <w:pPr>
        <w:autoSpaceDE w:val="0"/>
        <w:autoSpaceDN w:val="0"/>
        <w:adjustRightInd w:val="0"/>
        <w:spacing w:after="0" w:line="240" w:lineRule="auto"/>
        <w:jc w:val="center"/>
        <w:rPr>
          <w:rFonts w:ascii="Book Antiqua" w:hAnsi="Book Antiqua" w:cstheme="majorBidi"/>
          <w:b/>
          <w:bCs/>
          <w:sz w:val="24"/>
          <w:szCs w:val="24"/>
        </w:rPr>
      </w:pPr>
    </w:p>
    <w:p w:rsidR="007C148F" w:rsidRPr="001039FB" w:rsidRDefault="00E77CEB" w:rsidP="00903FAE">
      <w:pPr>
        <w:autoSpaceDE w:val="0"/>
        <w:autoSpaceDN w:val="0"/>
        <w:adjustRightInd w:val="0"/>
        <w:spacing w:after="0" w:line="240" w:lineRule="auto"/>
        <w:jc w:val="center"/>
        <w:rPr>
          <w:rFonts w:ascii="Book Antiqua" w:hAnsi="Book Antiqua" w:cstheme="majorBidi"/>
          <w:b/>
          <w:bCs/>
          <w:color w:val="4F81BD" w:themeColor="accent1"/>
          <w:sz w:val="36"/>
          <w:szCs w:val="36"/>
        </w:rPr>
      </w:pPr>
      <w:r w:rsidRPr="001039FB">
        <w:rPr>
          <w:rFonts w:ascii="Book Antiqua" w:hAnsi="Book Antiqua" w:cstheme="majorBidi"/>
          <w:b/>
          <w:bCs/>
          <w:color w:val="4F81BD" w:themeColor="accent1"/>
          <w:sz w:val="36"/>
          <w:szCs w:val="36"/>
        </w:rPr>
        <w:t>Préambule</w:t>
      </w:r>
    </w:p>
    <w:p w:rsidR="00DD645E" w:rsidRPr="001039FB" w:rsidRDefault="00DD645E" w:rsidP="00903FAE">
      <w:pPr>
        <w:autoSpaceDE w:val="0"/>
        <w:autoSpaceDN w:val="0"/>
        <w:adjustRightInd w:val="0"/>
        <w:spacing w:after="0" w:line="240" w:lineRule="auto"/>
        <w:jc w:val="center"/>
        <w:rPr>
          <w:rFonts w:ascii="Book Antiqua" w:hAnsi="Book Antiqua" w:cstheme="majorBidi"/>
          <w:b/>
          <w:bCs/>
          <w:color w:val="000099"/>
          <w:sz w:val="24"/>
          <w:szCs w:val="24"/>
        </w:rPr>
      </w:pPr>
    </w:p>
    <w:p w:rsidR="00E77CEB" w:rsidRPr="001039FB" w:rsidRDefault="00E77CEB" w:rsidP="00DD645E">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présente charte</w:t>
      </w:r>
      <w:r w:rsidR="00DD645E" w:rsidRPr="001039FB">
        <w:rPr>
          <w:rFonts w:ascii="Book Antiqua" w:hAnsi="Book Antiqua"/>
          <w:sz w:val="24"/>
          <w:szCs w:val="24"/>
        </w:rPr>
        <w:t xml:space="preserve"> des thèses constitue un dispositif réglementaire permettant l’organisation du déroulement des thèses réalisées dans le Centre d’Etudes Doctorale (CED)</w:t>
      </w:r>
      <w:r w:rsidRPr="001039FB">
        <w:rPr>
          <w:rFonts w:ascii="Book Antiqua" w:hAnsi="Book Antiqua"/>
          <w:sz w:val="24"/>
          <w:szCs w:val="24"/>
        </w:rPr>
        <w:t xml:space="preserve"> de l’Université Hassan II de Casablanca</w:t>
      </w:r>
      <w:r w:rsidR="00DD645E" w:rsidRPr="001039FB">
        <w:rPr>
          <w:rFonts w:ascii="Book Antiqua" w:hAnsi="Book Antiqua"/>
          <w:sz w:val="24"/>
          <w:szCs w:val="24"/>
        </w:rPr>
        <w:t xml:space="preserve">, conformément aux articles 19 et 24 de la loi 01-00 et à l’arrêté ministériel n° 1371-07 du 23 septembre 2008 publié dans le Bulletin Officiel n° 5674 du 16 octobre 2008 approuvant le Cahier des Normes Pédagogiques Nationales du Cycle de Doctorat (CNPN du Cycle de Doctorat). </w:t>
      </w:r>
    </w:p>
    <w:p w:rsidR="00E77CEB" w:rsidRPr="001039FB" w:rsidRDefault="00E77CEB" w:rsidP="00DD645E">
      <w:pPr>
        <w:autoSpaceDE w:val="0"/>
        <w:autoSpaceDN w:val="0"/>
        <w:adjustRightInd w:val="0"/>
        <w:spacing w:after="0" w:line="240" w:lineRule="auto"/>
        <w:jc w:val="both"/>
        <w:rPr>
          <w:rFonts w:ascii="Book Antiqua" w:hAnsi="Book Antiqua"/>
          <w:sz w:val="24"/>
          <w:szCs w:val="24"/>
        </w:rPr>
      </w:pPr>
    </w:p>
    <w:p w:rsidR="00DD645E" w:rsidRPr="001039FB" w:rsidRDefault="00DD645E" w:rsidP="00DD645E">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La charte des thèses constitue un document contractuel qui traduit les dispositions à prendre le long du cycle de doctorat allant du choix du sujet, de l’inscription, de la réinscription, des dérogations, de la constitution du dossier de soutenance jusqu’à l’attribution du diplôme. Elle définit les engagements réciproques du doctorant, de son directeur de thèse, du responsable </w:t>
      </w:r>
      <w:r w:rsidR="00565295" w:rsidRPr="001039FB">
        <w:rPr>
          <w:rFonts w:ascii="Book Antiqua" w:hAnsi="Book Antiqua"/>
          <w:sz w:val="24"/>
          <w:szCs w:val="24"/>
        </w:rPr>
        <w:t>du laboratoire</w:t>
      </w:r>
      <w:r w:rsidR="00E37199">
        <w:rPr>
          <w:rFonts w:ascii="Book Antiqua" w:hAnsi="Book Antiqua"/>
          <w:sz w:val="24"/>
          <w:szCs w:val="24"/>
        </w:rPr>
        <w:t xml:space="preserve"> </w:t>
      </w:r>
      <w:r w:rsidRPr="001039FB">
        <w:rPr>
          <w:rFonts w:ascii="Book Antiqua" w:hAnsi="Book Antiqua"/>
          <w:sz w:val="24"/>
          <w:szCs w:val="24"/>
        </w:rPr>
        <w:t xml:space="preserve">de recherche d’accueil du doctorant, du directeur du CED de l’Université Hassan II de Casablanca, conformément à la norme D6 du CNPN du Cycle de Doctorat. Ces engagements portent notamment sur : </w:t>
      </w:r>
    </w:p>
    <w:p w:rsidR="00AB3E02" w:rsidRPr="001039FB" w:rsidRDefault="00AB3E02" w:rsidP="00DD645E">
      <w:pPr>
        <w:autoSpaceDE w:val="0"/>
        <w:autoSpaceDN w:val="0"/>
        <w:adjustRightInd w:val="0"/>
        <w:spacing w:after="0" w:line="240" w:lineRule="auto"/>
        <w:jc w:val="both"/>
        <w:rPr>
          <w:rFonts w:ascii="Book Antiqua" w:hAnsi="Book Antiqua"/>
          <w:sz w:val="24"/>
          <w:szCs w:val="24"/>
        </w:rPr>
      </w:pP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La procédure du choix et d’attribution du sujet de la thèse ; </w:t>
      </w: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Les conditions de travail nécessaires à l’accomplissement et à l’avancement des travaux de recherche ; </w:t>
      </w: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L’encadrement et le suivi ; </w:t>
      </w: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Les droits et devoirs du doctorant et de l’encadrant ; </w:t>
      </w:r>
    </w:p>
    <w:p w:rsidR="00DD645E" w:rsidRPr="001039FB" w:rsidRDefault="00DD645E" w:rsidP="00DD645E">
      <w:pPr>
        <w:pStyle w:val="Paragraphedeliste"/>
        <w:numPr>
          <w:ilvl w:val="0"/>
          <w:numId w:val="1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Les conditions et modalités de soutenance et de </w:t>
      </w:r>
      <w:r w:rsidR="00FD46D6" w:rsidRPr="001039FB">
        <w:rPr>
          <w:rFonts w:ascii="Book Antiqua" w:hAnsi="Book Antiqua"/>
          <w:sz w:val="24"/>
          <w:szCs w:val="24"/>
        </w:rPr>
        <w:t>dérogation</w:t>
      </w:r>
      <w:r w:rsidRPr="001039FB">
        <w:rPr>
          <w:rFonts w:ascii="Book Antiqua" w:hAnsi="Book Antiqua"/>
          <w:sz w:val="24"/>
          <w:szCs w:val="24"/>
        </w:rPr>
        <w:t xml:space="preserve"> de la durée de la thèse. </w:t>
      </w:r>
    </w:p>
    <w:p w:rsidR="00840E2C" w:rsidRPr="001039FB" w:rsidRDefault="00840E2C" w:rsidP="00DD645E">
      <w:pPr>
        <w:autoSpaceDE w:val="0"/>
        <w:autoSpaceDN w:val="0"/>
        <w:adjustRightInd w:val="0"/>
        <w:spacing w:after="0" w:line="240" w:lineRule="auto"/>
        <w:jc w:val="both"/>
        <w:rPr>
          <w:rFonts w:ascii="Book Antiqua" w:hAnsi="Book Antiqua"/>
          <w:sz w:val="24"/>
          <w:szCs w:val="24"/>
        </w:rPr>
      </w:pPr>
    </w:p>
    <w:p w:rsidR="00840E2C" w:rsidRPr="001039FB" w:rsidRDefault="00E77CEB" w:rsidP="00E77CEB">
      <w:pPr>
        <w:autoSpaceDE w:val="0"/>
        <w:autoSpaceDN w:val="0"/>
        <w:adjustRightInd w:val="0"/>
        <w:spacing w:after="0" w:line="240" w:lineRule="auto"/>
        <w:jc w:val="both"/>
        <w:rPr>
          <w:rFonts w:ascii="Book Antiqua" w:hAnsi="Book Antiqua"/>
          <w:color w:val="000000" w:themeColor="text1"/>
          <w:sz w:val="24"/>
          <w:szCs w:val="24"/>
        </w:rPr>
      </w:pPr>
      <w:r w:rsidRPr="001039FB">
        <w:rPr>
          <w:rFonts w:ascii="Book Antiqua" w:hAnsi="Book Antiqua"/>
          <w:color w:val="000000" w:themeColor="text1"/>
          <w:sz w:val="24"/>
          <w:szCs w:val="24"/>
        </w:rPr>
        <w:t>La charte garantit les conditions nécessaires du cycle du doctorat qui représente une formation à et par la recherche sanctionnée par l’obtention du diplôme de doctorat. Conformément à la norme D1 du CNPNCD</w:t>
      </w:r>
      <w:r w:rsidR="004D00AF" w:rsidRPr="001039FB">
        <w:rPr>
          <w:rFonts w:ascii="Book Antiqua" w:hAnsi="Book Antiqua"/>
          <w:color w:val="000000" w:themeColor="text1"/>
          <w:sz w:val="24"/>
          <w:szCs w:val="24"/>
        </w:rPr>
        <w:t xml:space="preserve"> du Cycle Doctorat</w:t>
      </w:r>
      <w:r w:rsidRPr="001039FB">
        <w:rPr>
          <w:rFonts w:ascii="Book Antiqua" w:hAnsi="Book Antiqua"/>
          <w:color w:val="000000" w:themeColor="text1"/>
          <w:sz w:val="24"/>
          <w:szCs w:val="24"/>
        </w:rPr>
        <w:t xml:space="preserve">. Le diplôme de doctorat sanctionne un cursus de formation doctoral constitué d’un ensemble de formations et de travaux de recherche ayant pour objectif de faire acquérir au doctorant des connaissances, des aptitudes et des compétences lui permettant </w:t>
      </w:r>
      <w:r w:rsidR="00840E2C" w:rsidRPr="001039FB">
        <w:rPr>
          <w:rFonts w:ascii="Book Antiqua" w:hAnsi="Book Antiqua"/>
          <w:color w:val="000000" w:themeColor="text1"/>
          <w:sz w:val="24"/>
          <w:szCs w:val="24"/>
        </w:rPr>
        <w:t>d’avoir une carrière dans l’enseignement supérieur</w:t>
      </w:r>
      <w:r w:rsidR="00FD46D6" w:rsidRPr="001039FB">
        <w:rPr>
          <w:rFonts w:ascii="Book Antiqua" w:hAnsi="Book Antiqua"/>
          <w:color w:val="000000" w:themeColor="text1"/>
          <w:sz w:val="24"/>
          <w:szCs w:val="24"/>
        </w:rPr>
        <w:t xml:space="preserve">, dans </w:t>
      </w:r>
      <w:r w:rsidR="00840E2C" w:rsidRPr="001039FB">
        <w:rPr>
          <w:rFonts w:ascii="Book Antiqua" w:hAnsi="Book Antiqua"/>
          <w:color w:val="000000" w:themeColor="text1"/>
          <w:sz w:val="24"/>
          <w:szCs w:val="24"/>
        </w:rPr>
        <w:t>le monde de la recherche ou le monde socio professionnel</w:t>
      </w:r>
    </w:p>
    <w:p w:rsidR="00E77CEB" w:rsidRPr="001039FB" w:rsidRDefault="00D072B2" w:rsidP="00E77CEB">
      <w:pPr>
        <w:autoSpaceDE w:val="0"/>
        <w:autoSpaceDN w:val="0"/>
        <w:adjustRightInd w:val="0"/>
        <w:spacing w:after="0" w:line="240" w:lineRule="auto"/>
        <w:jc w:val="center"/>
        <w:rPr>
          <w:rFonts w:ascii="Book Antiqua" w:hAnsi="Book Antiqua"/>
          <w:b/>
          <w:bCs/>
          <w:color w:val="4F81BD" w:themeColor="accent1"/>
          <w:sz w:val="36"/>
          <w:szCs w:val="36"/>
        </w:rPr>
      </w:pPr>
      <w:r w:rsidRPr="001039FB">
        <w:rPr>
          <w:rFonts w:ascii="Book Antiqua" w:hAnsi="Book Antiqua"/>
          <w:b/>
          <w:bCs/>
          <w:color w:val="4F81BD" w:themeColor="accent1"/>
          <w:sz w:val="36"/>
          <w:szCs w:val="36"/>
        </w:rPr>
        <w:lastRenderedPageBreak/>
        <w:t xml:space="preserve">Chapitre n°1 : </w:t>
      </w:r>
      <w:r w:rsidR="00E77CEB" w:rsidRPr="001039FB">
        <w:rPr>
          <w:rFonts w:ascii="Book Antiqua" w:hAnsi="Book Antiqua"/>
          <w:b/>
          <w:bCs/>
          <w:color w:val="4F81BD" w:themeColor="accent1"/>
          <w:sz w:val="36"/>
          <w:szCs w:val="36"/>
        </w:rPr>
        <w:t>Inscription et dérogation</w:t>
      </w:r>
    </w:p>
    <w:p w:rsidR="00E77CEB" w:rsidRPr="001039FB" w:rsidRDefault="00E77CEB" w:rsidP="00E77CEB">
      <w:pPr>
        <w:autoSpaceDE w:val="0"/>
        <w:autoSpaceDN w:val="0"/>
        <w:adjustRightInd w:val="0"/>
        <w:spacing w:after="0" w:line="240" w:lineRule="auto"/>
        <w:jc w:val="both"/>
        <w:rPr>
          <w:rFonts w:ascii="Book Antiqua" w:hAnsi="Book Antiqua"/>
        </w:rPr>
      </w:pP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 :</w:t>
      </w:r>
      <w:r w:rsidRPr="001039FB">
        <w:rPr>
          <w:rFonts w:ascii="Book Antiqua" w:hAnsi="Book Antiqua"/>
          <w:sz w:val="24"/>
          <w:szCs w:val="24"/>
        </w:rPr>
        <w:t xml:space="preserve"> Pour s’inscrire en Doctorat, le candidat doit être titulaire d’un Master ou équivalent. La liste des diplômes nationaux équivalents d’un Master est fixée par l’arrêté ministériel n° 140.09 du 25 janvier 2009. Les diplômes étrangers sont sujets à une équivalence attribuée par l’autorité gouvernementale chargée de l’enseignement supérieur</w:t>
      </w:r>
      <w:r w:rsidR="00BF2D78" w:rsidRPr="001039FB">
        <w:rPr>
          <w:rFonts w:ascii="Book Antiqua" w:hAnsi="Book Antiqua"/>
          <w:sz w:val="24"/>
          <w:szCs w:val="24"/>
        </w:rPr>
        <w:t>,</w:t>
      </w:r>
      <w:r w:rsidRPr="001039FB">
        <w:rPr>
          <w:rFonts w:ascii="Book Antiqua" w:hAnsi="Book Antiqua"/>
          <w:sz w:val="24"/>
          <w:szCs w:val="24"/>
        </w:rPr>
        <w:t xml:space="preserve"> l’inscription effective n’étant considérée définitive qu’après le dépôt d’une attestation d’équivalence. </w:t>
      </w:r>
      <w:r w:rsidR="00D3426A" w:rsidRPr="001039FB">
        <w:rPr>
          <w:rFonts w:ascii="Book Antiqua" w:hAnsi="Book Antiqua"/>
          <w:sz w:val="24"/>
          <w:szCs w:val="24"/>
        </w:rPr>
        <w:t>Voir D2 cahier des normes</w:t>
      </w: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2 :</w:t>
      </w:r>
      <w:r w:rsidRPr="001039FB">
        <w:rPr>
          <w:rFonts w:ascii="Book Antiqua" w:hAnsi="Book Antiqua"/>
          <w:sz w:val="24"/>
          <w:szCs w:val="24"/>
        </w:rPr>
        <w:t xml:space="preserve"> Les critères de déroulement, de réinscription et de soutenance de la thèse de doctorat sont définis par le </w:t>
      </w:r>
      <w:r w:rsidR="00AB3E02" w:rsidRPr="001039FB">
        <w:rPr>
          <w:rFonts w:ascii="Book Antiqua" w:hAnsi="Book Antiqua"/>
          <w:sz w:val="24"/>
          <w:szCs w:val="24"/>
        </w:rPr>
        <w:t>C</w:t>
      </w:r>
      <w:r w:rsidRPr="001039FB">
        <w:rPr>
          <w:rFonts w:ascii="Book Antiqua" w:hAnsi="Book Antiqua"/>
          <w:sz w:val="24"/>
          <w:szCs w:val="24"/>
        </w:rPr>
        <w:t>onseil d</w:t>
      </w:r>
      <w:r w:rsidR="00BF2D78" w:rsidRPr="001039FB">
        <w:rPr>
          <w:rFonts w:ascii="Book Antiqua" w:hAnsi="Book Antiqua"/>
          <w:sz w:val="24"/>
          <w:szCs w:val="24"/>
        </w:rPr>
        <w:t>u</w:t>
      </w:r>
      <w:r w:rsidRPr="001039FB">
        <w:rPr>
          <w:rFonts w:ascii="Book Antiqua" w:hAnsi="Book Antiqua"/>
          <w:sz w:val="24"/>
          <w:szCs w:val="24"/>
        </w:rPr>
        <w:t xml:space="preserve"> CED de l’UH2C et le </w:t>
      </w:r>
      <w:r w:rsidR="00AB3E02" w:rsidRPr="001039FB">
        <w:rPr>
          <w:rFonts w:ascii="Book Antiqua" w:hAnsi="Book Antiqua"/>
          <w:sz w:val="24"/>
          <w:szCs w:val="24"/>
        </w:rPr>
        <w:t>C</w:t>
      </w:r>
      <w:r w:rsidRPr="001039FB">
        <w:rPr>
          <w:rFonts w:ascii="Book Antiqua" w:hAnsi="Book Antiqua"/>
          <w:sz w:val="24"/>
          <w:szCs w:val="24"/>
        </w:rPr>
        <w:t xml:space="preserve">ollège de formation </w:t>
      </w:r>
      <w:r w:rsidR="00220239" w:rsidRPr="001039FB">
        <w:rPr>
          <w:rFonts w:ascii="Book Antiqua" w:hAnsi="Book Antiqua"/>
          <w:sz w:val="24"/>
          <w:szCs w:val="24"/>
        </w:rPr>
        <w:t>doctoral de l’établissement.</w:t>
      </w:r>
    </w:p>
    <w:p w:rsidR="00220239" w:rsidRPr="001039FB" w:rsidRDefault="00220239" w:rsidP="00E77CEB">
      <w:pPr>
        <w:autoSpaceDE w:val="0"/>
        <w:autoSpaceDN w:val="0"/>
        <w:adjustRightInd w:val="0"/>
        <w:spacing w:after="0" w:line="240" w:lineRule="auto"/>
        <w:jc w:val="both"/>
        <w:rPr>
          <w:rFonts w:ascii="Book Antiqua" w:hAnsi="Book Antiqua"/>
          <w:b/>
          <w:bCs/>
          <w:color w:val="4F81BD" w:themeColor="accent1"/>
          <w:sz w:val="24"/>
          <w:szCs w:val="24"/>
        </w:rPr>
      </w:pPr>
    </w:p>
    <w:p w:rsidR="008418A7"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3 :</w:t>
      </w:r>
      <w:r w:rsidRPr="001039FB">
        <w:rPr>
          <w:rFonts w:ascii="Book Antiqua" w:hAnsi="Book Antiqua"/>
          <w:sz w:val="24"/>
          <w:szCs w:val="24"/>
        </w:rPr>
        <w:t xml:space="preserve"> Les doctorants dont l’aboutissement de la soutenance de la thèse n’a pas eu lieu quelle</w:t>
      </w:r>
      <w:r w:rsidR="00BF2D78" w:rsidRPr="001039FB">
        <w:rPr>
          <w:rFonts w:ascii="Book Antiqua" w:hAnsi="Book Antiqua"/>
          <w:sz w:val="24"/>
          <w:szCs w:val="24"/>
        </w:rPr>
        <w:t>s</w:t>
      </w:r>
      <w:r w:rsidRPr="001039FB">
        <w:rPr>
          <w:rFonts w:ascii="Book Antiqua" w:hAnsi="Book Antiqua"/>
          <w:sz w:val="24"/>
          <w:szCs w:val="24"/>
        </w:rPr>
        <w:t xml:space="preserve"> que soi</w:t>
      </w:r>
      <w:r w:rsidR="00BF2D78" w:rsidRPr="001039FB">
        <w:rPr>
          <w:rFonts w:ascii="Book Antiqua" w:hAnsi="Book Antiqua"/>
          <w:sz w:val="24"/>
          <w:szCs w:val="24"/>
        </w:rPr>
        <w:t>ent</w:t>
      </w:r>
      <w:r w:rsidRPr="001039FB">
        <w:rPr>
          <w:rFonts w:ascii="Book Antiqua" w:hAnsi="Book Antiqua"/>
          <w:sz w:val="24"/>
          <w:szCs w:val="24"/>
        </w:rPr>
        <w:t xml:space="preserve"> l</w:t>
      </w:r>
      <w:r w:rsidR="00937BC3" w:rsidRPr="001039FB">
        <w:rPr>
          <w:rFonts w:ascii="Book Antiqua" w:hAnsi="Book Antiqua"/>
          <w:sz w:val="24"/>
          <w:szCs w:val="24"/>
        </w:rPr>
        <w:t>es</w:t>
      </w:r>
      <w:r w:rsidRPr="001039FB">
        <w:rPr>
          <w:rFonts w:ascii="Book Antiqua" w:hAnsi="Book Antiqua"/>
          <w:sz w:val="24"/>
          <w:szCs w:val="24"/>
        </w:rPr>
        <w:t xml:space="preserve"> raison</w:t>
      </w:r>
      <w:r w:rsidR="00937BC3" w:rsidRPr="001039FB">
        <w:rPr>
          <w:rFonts w:ascii="Book Antiqua" w:hAnsi="Book Antiqua"/>
          <w:sz w:val="24"/>
          <w:szCs w:val="24"/>
        </w:rPr>
        <w:t>s autre</w:t>
      </w:r>
      <w:r w:rsidR="00BF2D78" w:rsidRPr="001039FB">
        <w:rPr>
          <w:rFonts w:ascii="Book Antiqua" w:hAnsi="Book Antiqua"/>
          <w:sz w:val="24"/>
          <w:szCs w:val="24"/>
        </w:rPr>
        <w:t>s</w:t>
      </w:r>
      <w:r w:rsidR="00937BC3" w:rsidRPr="001039FB">
        <w:rPr>
          <w:rFonts w:ascii="Book Antiqua" w:hAnsi="Book Antiqua"/>
          <w:sz w:val="24"/>
          <w:szCs w:val="24"/>
        </w:rPr>
        <w:t xml:space="preserve"> que la maladie </w:t>
      </w:r>
      <w:r w:rsidRPr="001039FB">
        <w:rPr>
          <w:rFonts w:ascii="Book Antiqua" w:hAnsi="Book Antiqua"/>
          <w:sz w:val="24"/>
          <w:szCs w:val="24"/>
        </w:rPr>
        <w:t>(abandon, arrêt, …) ne peuvent en aucun cas être candidats à une nouvelle inscription en doctorat à l’</w:t>
      </w:r>
      <w:r w:rsidR="008418A7" w:rsidRPr="001039FB">
        <w:rPr>
          <w:rFonts w:ascii="Book Antiqua" w:hAnsi="Book Antiqua"/>
          <w:sz w:val="24"/>
          <w:szCs w:val="24"/>
        </w:rPr>
        <w:t xml:space="preserve">Université Hassan II de Casablanca. </w:t>
      </w:r>
    </w:p>
    <w:p w:rsidR="008418A7" w:rsidRPr="001039FB" w:rsidRDefault="008418A7" w:rsidP="00E77CEB">
      <w:pPr>
        <w:autoSpaceDE w:val="0"/>
        <w:autoSpaceDN w:val="0"/>
        <w:adjustRightInd w:val="0"/>
        <w:spacing w:after="0" w:line="240" w:lineRule="auto"/>
        <w:jc w:val="both"/>
        <w:rPr>
          <w:rFonts w:ascii="Book Antiqua" w:hAnsi="Book Antiqua"/>
          <w:b/>
          <w:bCs/>
          <w:color w:val="4F81BD" w:themeColor="accent1"/>
          <w:sz w:val="24"/>
          <w:szCs w:val="24"/>
        </w:rPr>
      </w:pPr>
    </w:p>
    <w:p w:rsidR="008418A7"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4 :</w:t>
      </w:r>
      <w:r w:rsidRPr="001039FB">
        <w:rPr>
          <w:rFonts w:ascii="Book Antiqua" w:hAnsi="Book Antiqua"/>
          <w:sz w:val="24"/>
          <w:szCs w:val="24"/>
        </w:rPr>
        <w:t xml:space="preserve"> Les </w:t>
      </w:r>
      <w:r w:rsidR="00F0372A" w:rsidRPr="001039FB">
        <w:rPr>
          <w:rFonts w:ascii="Book Antiqua" w:hAnsi="Book Antiqua"/>
          <w:sz w:val="24"/>
          <w:szCs w:val="24"/>
        </w:rPr>
        <w:t xml:space="preserve">axes ou </w:t>
      </w:r>
      <w:r w:rsidRPr="001039FB">
        <w:rPr>
          <w:rFonts w:ascii="Book Antiqua" w:hAnsi="Book Antiqua"/>
          <w:sz w:val="24"/>
          <w:szCs w:val="24"/>
        </w:rPr>
        <w:t>sujets</w:t>
      </w:r>
      <w:r w:rsidR="007D2E43">
        <w:rPr>
          <w:rFonts w:ascii="Book Antiqua" w:hAnsi="Book Antiqua"/>
          <w:sz w:val="24"/>
          <w:szCs w:val="24"/>
        </w:rPr>
        <w:t xml:space="preserve"> </w:t>
      </w:r>
      <w:r w:rsidRPr="001039FB">
        <w:rPr>
          <w:rFonts w:ascii="Book Antiqua" w:hAnsi="Book Antiqua"/>
          <w:sz w:val="24"/>
          <w:szCs w:val="24"/>
        </w:rPr>
        <w:t>de recherche sont proposés par les structures de recherche accréditées par l’université et demeurent la propriété exclusive de l’université, sauf convention préalable</w:t>
      </w:r>
      <w:r w:rsidR="00BF2D78" w:rsidRPr="001039FB">
        <w:rPr>
          <w:rFonts w:ascii="Book Antiqua" w:hAnsi="Book Antiqua"/>
          <w:sz w:val="24"/>
          <w:szCs w:val="24"/>
        </w:rPr>
        <w:t>,</w:t>
      </w:r>
      <w:r w:rsidRPr="001039FB">
        <w:rPr>
          <w:rFonts w:ascii="Book Antiqua" w:hAnsi="Book Antiqua"/>
          <w:sz w:val="24"/>
          <w:szCs w:val="24"/>
        </w:rPr>
        <w:t xml:space="preserve"> en cas</w:t>
      </w:r>
      <w:r w:rsidR="00BF2D78" w:rsidRPr="001039FB">
        <w:rPr>
          <w:rFonts w:ascii="Book Antiqua" w:hAnsi="Book Antiqua"/>
          <w:sz w:val="24"/>
          <w:szCs w:val="24"/>
        </w:rPr>
        <w:t xml:space="preserve"> de </w:t>
      </w:r>
      <w:r w:rsidRPr="001039FB">
        <w:rPr>
          <w:rFonts w:ascii="Book Antiqua" w:hAnsi="Book Antiqua"/>
          <w:sz w:val="24"/>
          <w:szCs w:val="24"/>
        </w:rPr>
        <w:t>thèse en cotutelle ou d’un projet en partenariat avec des industriels et des acteurs socio-économiques. Le doctorant ne peut en aucun cas publier des résultats relatifs aux travaux de la thèse sous n’importe quelle forme</w:t>
      </w:r>
      <w:r w:rsidR="00A37FB0" w:rsidRPr="001039FB">
        <w:rPr>
          <w:rFonts w:ascii="Book Antiqua" w:hAnsi="Book Antiqua"/>
          <w:sz w:val="24"/>
          <w:szCs w:val="24"/>
        </w:rPr>
        <w:t xml:space="preserve"> que ce soit</w:t>
      </w:r>
      <w:r w:rsidRPr="001039FB">
        <w:rPr>
          <w:rFonts w:ascii="Book Antiqua" w:hAnsi="Book Antiqua"/>
          <w:sz w:val="24"/>
          <w:szCs w:val="24"/>
        </w:rPr>
        <w:t xml:space="preserve"> sans l’autorisation du directeur de thèse. </w:t>
      </w:r>
    </w:p>
    <w:p w:rsidR="008418A7" w:rsidRPr="001039FB" w:rsidRDefault="008418A7" w:rsidP="00E77CEB">
      <w:pPr>
        <w:autoSpaceDE w:val="0"/>
        <w:autoSpaceDN w:val="0"/>
        <w:adjustRightInd w:val="0"/>
        <w:spacing w:after="0" w:line="240" w:lineRule="auto"/>
        <w:jc w:val="both"/>
        <w:rPr>
          <w:rFonts w:ascii="Book Antiqua" w:hAnsi="Book Antiqua"/>
          <w:b/>
          <w:bCs/>
          <w:color w:val="4F81BD" w:themeColor="accent1"/>
          <w:sz w:val="24"/>
          <w:szCs w:val="24"/>
        </w:rPr>
      </w:pPr>
    </w:p>
    <w:p w:rsidR="008418A7"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5 :</w:t>
      </w:r>
      <w:r w:rsidRPr="001039FB">
        <w:rPr>
          <w:rFonts w:ascii="Book Antiqua" w:hAnsi="Book Antiqua"/>
          <w:sz w:val="24"/>
          <w:szCs w:val="24"/>
        </w:rPr>
        <w:t xml:space="preserve"> L’inscription en thèse </w:t>
      </w:r>
      <w:r w:rsidR="00541E2B" w:rsidRPr="001039FB">
        <w:rPr>
          <w:rFonts w:ascii="Book Antiqua" w:hAnsi="Book Antiqua"/>
          <w:sz w:val="24"/>
          <w:szCs w:val="24"/>
        </w:rPr>
        <w:t>n’es</w:t>
      </w:r>
      <w:r w:rsidR="00F0372A" w:rsidRPr="001039FB">
        <w:rPr>
          <w:rFonts w:ascii="Book Antiqua" w:hAnsi="Book Antiqua"/>
          <w:sz w:val="24"/>
          <w:szCs w:val="24"/>
        </w:rPr>
        <w:t>t</w:t>
      </w:r>
      <w:r w:rsidR="00541E2B" w:rsidRPr="001039FB">
        <w:rPr>
          <w:rFonts w:ascii="Book Antiqua" w:hAnsi="Book Antiqua"/>
          <w:sz w:val="24"/>
          <w:szCs w:val="24"/>
        </w:rPr>
        <w:t xml:space="preserve"> effective </w:t>
      </w:r>
      <w:r w:rsidR="00F0372A" w:rsidRPr="001039FB">
        <w:rPr>
          <w:rFonts w:ascii="Book Antiqua" w:hAnsi="Book Antiqua"/>
          <w:sz w:val="24"/>
          <w:szCs w:val="24"/>
        </w:rPr>
        <w:t xml:space="preserve">qu’après </w:t>
      </w:r>
      <w:r w:rsidR="00541E2B" w:rsidRPr="001039FB">
        <w:rPr>
          <w:rFonts w:ascii="Book Antiqua" w:hAnsi="Book Antiqua"/>
          <w:sz w:val="24"/>
          <w:szCs w:val="24"/>
        </w:rPr>
        <w:t xml:space="preserve">la signature de </w:t>
      </w:r>
      <w:r w:rsidR="00F0372A" w:rsidRPr="001039FB">
        <w:rPr>
          <w:rFonts w:ascii="Book Antiqua" w:hAnsi="Book Antiqua"/>
          <w:sz w:val="24"/>
          <w:szCs w:val="24"/>
        </w:rPr>
        <w:t xml:space="preserve">la présente charte conjointement par </w:t>
      </w:r>
      <w:r w:rsidRPr="001039FB">
        <w:rPr>
          <w:rFonts w:ascii="Book Antiqua" w:hAnsi="Book Antiqua"/>
          <w:sz w:val="24"/>
          <w:szCs w:val="24"/>
        </w:rPr>
        <w:t>le doctorant</w:t>
      </w:r>
      <w:r w:rsidR="00F0372A" w:rsidRPr="001039FB">
        <w:rPr>
          <w:rFonts w:ascii="Book Antiqua" w:hAnsi="Book Antiqua"/>
          <w:sz w:val="24"/>
          <w:szCs w:val="24"/>
        </w:rPr>
        <w:t xml:space="preserve">, </w:t>
      </w:r>
      <w:r w:rsidRPr="001039FB">
        <w:rPr>
          <w:rFonts w:ascii="Book Antiqua" w:hAnsi="Book Antiqua"/>
          <w:sz w:val="24"/>
          <w:szCs w:val="24"/>
        </w:rPr>
        <w:t>son directeur</w:t>
      </w:r>
      <w:r w:rsidR="00E37199">
        <w:rPr>
          <w:rFonts w:ascii="Book Antiqua" w:hAnsi="Book Antiqua"/>
          <w:sz w:val="24"/>
          <w:szCs w:val="24"/>
        </w:rPr>
        <w:t xml:space="preserve"> </w:t>
      </w:r>
      <w:r w:rsidRPr="001039FB">
        <w:rPr>
          <w:rFonts w:ascii="Book Antiqua" w:hAnsi="Book Antiqua"/>
          <w:sz w:val="24"/>
          <w:szCs w:val="24"/>
        </w:rPr>
        <w:t>de</w:t>
      </w:r>
      <w:r w:rsidR="00E37199">
        <w:rPr>
          <w:rFonts w:ascii="Book Antiqua" w:hAnsi="Book Antiqua"/>
          <w:sz w:val="24"/>
          <w:szCs w:val="24"/>
        </w:rPr>
        <w:t xml:space="preserve"> </w:t>
      </w:r>
      <w:r w:rsidRPr="001039FB">
        <w:rPr>
          <w:rFonts w:ascii="Book Antiqua" w:hAnsi="Book Antiqua"/>
          <w:sz w:val="24"/>
          <w:szCs w:val="24"/>
        </w:rPr>
        <w:t>thèse</w:t>
      </w:r>
      <w:r w:rsidR="00D44C29" w:rsidRPr="001039FB">
        <w:rPr>
          <w:rFonts w:ascii="Book Antiqua" w:hAnsi="Book Antiqua"/>
          <w:sz w:val="24"/>
          <w:szCs w:val="24"/>
        </w:rPr>
        <w:t xml:space="preserve">(encadrant) </w:t>
      </w:r>
      <w:r w:rsidR="00F0372A" w:rsidRPr="001039FB">
        <w:rPr>
          <w:rFonts w:ascii="Book Antiqua" w:hAnsi="Book Antiqua"/>
          <w:sz w:val="24"/>
          <w:szCs w:val="24"/>
        </w:rPr>
        <w:t>et le co-encadrant</w:t>
      </w:r>
      <w:r w:rsidR="00470B51" w:rsidRPr="001039FB">
        <w:rPr>
          <w:rFonts w:ascii="Book Antiqua" w:hAnsi="Book Antiqua"/>
          <w:sz w:val="24"/>
          <w:szCs w:val="24"/>
        </w:rPr>
        <w:t xml:space="preserve"> s’il existe</w:t>
      </w:r>
      <w:r w:rsidRPr="001039FB">
        <w:rPr>
          <w:rFonts w:ascii="Book Antiqua" w:hAnsi="Book Antiqua"/>
          <w:sz w:val="24"/>
          <w:szCs w:val="24"/>
        </w:rPr>
        <w:t xml:space="preserve">. Elle est approuvée par </w:t>
      </w:r>
      <w:r w:rsidR="00753260" w:rsidRPr="001039FB">
        <w:rPr>
          <w:rFonts w:ascii="Book Antiqua" w:hAnsi="Book Antiqua"/>
          <w:sz w:val="24"/>
          <w:szCs w:val="24"/>
        </w:rPr>
        <w:t>le directeur d</w:t>
      </w:r>
      <w:r w:rsidR="00A37FB0" w:rsidRPr="001039FB">
        <w:rPr>
          <w:rFonts w:ascii="Book Antiqua" w:hAnsi="Book Antiqua"/>
          <w:sz w:val="24"/>
          <w:szCs w:val="24"/>
        </w:rPr>
        <w:t>u</w:t>
      </w:r>
      <w:r w:rsidR="00753260" w:rsidRPr="001039FB">
        <w:rPr>
          <w:rFonts w:ascii="Book Antiqua" w:hAnsi="Book Antiqua"/>
          <w:sz w:val="24"/>
          <w:szCs w:val="24"/>
        </w:rPr>
        <w:t xml:space="preserve"> laboratoire</w:t>
      </w:r>
      <w:r w:rsidR="006F4D44" w:rsidRPr="001039FB">
        <w:rPr>
          <w:rFonts w:ascii="Book Antiqua" w:hAnsi="Book Antiqua"/>
          <w:sz w:val="24"/>
          <w:szCs w:val="24"/>
        </w:rPr>
        <w:t>,</w:t>
      </w:r>
      <w:r w:rsidR="00E37199">
        <w:rPr>
          <w:rFonts w:ascii="Book Antiqua" w:hAnsi="Book Antiqua"/>
          <w:sz w:val="24"/>
          <w:szCs w:val="24"/>
        </w:rPr>
        <w:t xml:space="preserve"> </w:t>
      </w:r>
      <w:r w:rsidRPr="001039FB">
        <w:rPr>
          <w:rFonts w:ascii="Book Antiqua" w:hAnsi="Book Antiqua"/>
          <w:sz w:val="24"/>
          <w:szCs w:val="24"/>
        </w:rPr>
        <w:t xml:space="preserve">le chef de l’établissement </w:t>
      </w:r>
      <w:r w:rsidR="00937BC3" w:rsidRPr="001039FB">
        <w:rPr>
          <w:rFonts w:ascii="Book Antiqua" w:hAnsi="Book Antiqua"/>
          <w:sz w:val="24"/>
          <w:szCs w:val="24"/>
        </w:rPr>
        <w:t>participant à la formation doctorale</w:t>
      </w:r>
      <w:r w:rsidR="00151CBD" w:rsidRPr="001039FB">
        <w:rPr>
          <w:rFonts w:ascii="Book Antiqua" w:hAnsi="Book Antiqua"/>
          <w:sz w:val="24"/>
          <w:szCs w:val="24"/>
        </w:rPr>
        <w:t>,</w:t>
      </w:r>
      <w:r w:rsidR="00937BC3" w:rsidRPr="001039FB">
        <w:rPr>
          <w:rFonts w:ascii="Book Antiqua" w:hAnsi="Book Antiqua"/>
          <w:sz w:val="24"/>
          <w:szCs w:val="24"/>
        </w:rPr>
        <w:t xml:space="preserve"> et le </w:t>
      </w:r>
      <w:r w:rsidRPr="001039FB">
        <w:rPr>
          <w:rFonts w:ascii="Book Antiqua" w:hAnsi="Book Antiqua"/>
          <w:sz w:val="24"/>
          <w:szCs w:val="24"/>
        </w:rPr>
        <w:t>directeur du CED</w:t>
      </w:r>
      <w:r w:rsidR="00151CBD" w:rsidRPr="001039FB">
        <w:rPr>
          <w:rFonts w:ascii="Book Antiqua" w:hAnsi="Book Antiqua"/>
          <w:sz w:val="24"/>
          <w:szCs w:val="24"/>
        </w:rPr>
        <w:t xml:space="preserve"> de l’université Hassan II de Casablanca.</w:t>
      </w:r>
    </w:p>
    <w:p w:rsidR="008418A7" w:rsidRPr="001039FB" w:rsidRDefault="008418A7" w:rsidP="00E77CEB">
      <w:pPr>
        <w:autoSpaceDE w:val="0"/>
        <w:autoSpaceDN w:val="0"/>
        <w:adjustRightInd w:val="0"/>
        <w:spacing w:after="0" w:line="240" w:lineRule="auto"/>
        <w:jc w:val="both"/>
        <w:rPr>
          <w:rFonts w:ascii="Book Antiqua" w:hAnsi="Book Antiqua"/>
          <w:b/>
          <w:bCs/>
          <w:color w:val="4F81BD" w:themeColor="accent1"/>
          <w:sz w:val="24"/>
          <w:szCs w:val="24"/>
        </w:rPr>
      </w:pPr>
    </w:p>
    <w:p w:rsidR="008418A7"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6 :</w:t>
      </w:r>
      <w:r w:rsidRPr="001039FB">
        <w:rPr>
          <w:rFonts w:ascii="Book Antiqua" w:hAnsi="Book Antiqua"/>
          <w:sz w:val="24"/>
          <w:szCs w:val="24"/>
        </w:rPr>
        <w:t xml:space="preserve"> Le </w:t>
      </w:r>
      <w:r w:rsidR="001E40B9" w:rsidRPr="001039FB">
        <w:rPr>
          <w:rFonts w:ascii="Book Antiqua" w:hAnsi="Book Antiqua"/>
          <w:sz w:val="24"/>
          <w:szCs w:val="24"/>
        </w:rPr>
        <w:t>directeur du laboratoire doit</w:t>
      </w:r>
      <w:r w:rsidR="00E37199">
        <w:rPr>
          <w:rFonts w:ascii="Book Antiqua" w:hAnsi="Book Antiqua"/>
          <w:sz w:val="24"/>
          <w:szCs w:val="24"/>
        </w:rPr>
        <w:t xml:space="preserve"> </w:t>
      </w:r>
      <w:r w:rsidR="001E40B9" w:rsidRPr="001039FB">
        <w:rPr>
          <w:rFonts w:ascii="Book Antiqua" w:hAnsi="Book Antiqua"/>
          <w:sz w:val="24"/>
          <w:szCs w:val="24"/>
        </w:rPr>
        <w:t xml:space="preserve">informer </w:t>
      </w:r>
      <w:r w:rsidR="00BE310F" w:rsidRPr="001039FB">
        <w:rPr>
          <w:rFonts w:ascii="Book Antiqua" w:hAnsi="Book Antiqua"/>
          <w:sz w:val="24"/>
          <w:szCs w:val="24"/>
        </w:rPr>
        <w:t>le ou la doctorant(e)</w:t>
      </w:r>
      <w:r w:rsidR="00E37199">
        <w:rPr>
          <w:rFonts w:ascii="Book Antiqua" w:hAnsi="Book Antiqua"/>
          <w:sz w:val="24"/>
          <w:szCs w:val="24"/>
        </w:rPr>
        <w:t xml:space="preserve"> </w:t>
      </w:r>
      <w:r w:rsidR="00BE310F" w:rsidRPr="001039FB">
        <w:rPr>
          <w:rFonts w:ascii="Book Antiqua" w:hAnsi="Book Antiqua"/>
          <w:sz w:val="24"/>
          <w:szCs w:val="24"/>
        </w:rPr>
        <w:t xml:space="preserve">sur </w:t>
      </w:r>
      <w:r w:rsidR="006B7997" w:rsidRPr="001039FB">
        <w:rPr>
          <w:rFonts w:ascii="Book Antiqua" w:hAnsi="Book Antiqua"/>
          <w:sz w:val="24"/>
          <w:szCs w:val="24"/>
        </w:rPr>
        <w:t>les points suivants</w:t>
      </w:r>
      <w:r w:rsidR="001E40B9" w:rsidRPr="001039FB">
        <w:rPr>
          <w:rFonts w:ascii="Book Antiqua" w:hAnsi="Book Antiqua"/>
          <w:sz w:val="24"/>
          <w:szCs w:val="24"/>
        </w:rPr>
        <w:t> :</w:t>
      </w:r>
    </w:p>
    <w:p w:rsidR="008606FC" w:rsidRPr="001039FB" w:rsidRDefault="008606FC" w:rsidP="00E77CEB">
      <w:pPr>
        <w:autoSpaceDE w:val="0"/>
        <w:autoSpaceDN w:val="0"/>
        <w:adjustRightInd w:val="0"/>
        <w:spacing w:after="0" w:line="240" w:lineRule="auto"/>
        <w:jc w:val="both"/>
        <w:rPr>
          <w:rFonts w:ascii="Book Antiqua" w:hAnsi="Book Antiqua"/>
          <w:sz w:val="24"/>
          <w:szCs w:val="24"/>
        </w:rPr>
      </w:pP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C</w:t>
      </w:r>
      <w:r w:rsidR="00E77CEB" w:rsidRPr="001039FB">
        <w:rPr>
          <w:rFonts w:ascii="Book Antiqua" w:hAnsi="Book Antiqua"/>
          <w:sz w:val="24"/>
          <w:szCs w:val="24"/>
        </w:rPr>
        <w:t xml:space="preserve">onditions de préparation de la thèse en matière de respect des règlements adoptés par la structure de recherche d’accueil ; </w:t>
      </w: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D</w:t>
      </w:r>
      <w:r w:rsidR="00E77CEB" w:rsidRPr="001039FB">
        <w:rPr>
          <w:rFonts w:ascii="Book Antiqua" w:hAnsi="Book Antiqua"/>
          <w:sz w:val="24"/>
          <w:szCs w:val="24"/>
        </w:rPr>
        <w:t xml:space="preserve">es moyens logistiques disponibles ; </w:t>
      </w: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D</w:t>
      </w:r>
      <w:r w:rsidR="00E77CEB" w:rsidRPr="001039FB">
        <w:rPr>
          <w:rFonts w:ascii="Book Antiqua" w:hAnsi="Book Antiqua"/>
          <w:sz w:val="24"/>
          <w:szCs w:val="24"/>
        </w:rPr>
        <w:t xml:space="preserve">es ressources disponibles (levées de fonds, bourses de recherche, contrats conventionnels, stages de formation, etc.) ; </w:t>
      </w: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D</w:t>
      </w:r>
      <w:r w:rsidR="00E77CEB" w:rsidRPr="001039FB">
        <w:rPr>
          <w:rFonts w:ascii="Book Antiqua" w:hAnsi="Book Antiqua"/>
          <w:sz w:val="24"/>
          <w:szCs w:val="24"/>
        </w:rPr>
        <w:t xml:space="preserve">u nombre de thèses en cours qui sont dirigées par l’encadrant pressenti ; </w:t>
      </w:r>
    </w:p>
    <w:p w:rsidR="008418A7" w:rsidRPr="001039FB" w:rsidRDefault="008418A7" w:rsidP="008418A7">
      <w:pPr>
        <w:pStyle w:val="Paragraphedeliste"/>
        <w:numPr>
          <w:ilvl w:val="0"/>
          <w:numId w:val="1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D</w:t>
      </w:r>
      <w:r w:rsidR="00E77CEB" w:rsidRPr="001039FB">
        <w:rPr>
          <w:rFonts w:ascii="Book Antiqua" w:hAnsi="Book Antiqua"/>
          <w:sz w:val="24"/>
          <w:szCs w:val="24"/>
        </w:rPr>
        <w:t>es secteurs d’activités économiques pouvant être intéressés par le travail de thèse ;</w:t>
      </w:r>
    </w:p>
    <w:p w:rsidR="008418A7" w:rsidRPr="001039FB" w:rsidRDefault="008418A7" w:rsidP="00E77CEB">
      <w:pPr>
        <w:autoSpaceDE w:val="0"/>
        <w:autoSpaceDN w:val="0"/>
        <w:adjustRightInd w:val="0"/>
        <w:spacing w:after="0" w:line="240" w:lineRule="auto"/>
        <w:jc w:val="both"/>
        <w:rPr>
          <w:rFonts w:ascii="Book Antiqua" w:hAnsi="Book Antiqua"/>
          <w:b/>
          <w:bCs/>
          <w:color w:val="4F81BD" w:themeColor="accent1"/>
          <w:sz w:val="24"/>
          <w:szCs w:val="24"/>
        </w:rPr>
      </w:pP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7 :</w:t>
      </w:r>
      <w:r w:rsidRPr="001039FB">
        <w:rPr>
          <w:rFonts w:ascii="Book Antiqua" w:hAnsi="Book Antiqua"/>
          <w:sz w:val="24"/>
          <w:szCs w:val="24"/>
        </w:rPr>
        <w:t xml:space="preserve"> Un doctorant est un étudiant dont l’activité principale est la recherche scientifique autour d’un </w:t>
      </w:r>
      <w:r w:rsidR="00DB5716" w:rsidRPr="001039FB">
        <w:rPr>
          <w:rFonts w:ascii="Book Antiqua" w:hAnsi="Book Antiqua"/>
          <w:sz w:val="24"/>
          <w:szCs w:val="24"/>
        </w:rPr>
        <w:t xml:space="preserve">axe ou </w:t>
      </w:r>
      <w:r w:rsidRPr="001039FB">
        <w:rPr>
          <w:rFonts w:ascii="Book Antiqua" w:hAnsi="Book Antiqua"/>
          <w:sz w:val="24"/>
          <w:szCs w:val="24"/>
        </w:rPr>
        <w:t>sujet de recherche sous la supervision d’un directeur de recherche en vue de la préparation et la</w:t>
      </w:r>
      <w:r w:rsidR="00E37199">
        <w:rPr>
          <w:rFonts w:ascii="Book Antiqua" w:hAnsi="Book Antiqua"/>
          <w:sz w:val="24"/>
          <w:szCs w:val="24"/>
        </w:rPr>
        <w:t xml:space="preserve"> </w:t>
      </w:r>
      <w:r w:rsidRPr="001039FB">
        <w:rPr>
          <w:rFonts w:ascii="Book Antiqua" w:hAnsi="Book Antiqua"/>
          <w:sz w:val="24"/>
          <w:szCs w:val="24"/>
        </w:rPr>
        <w:t>soutenance d’une thèse de doctorat au bout d’une durée déterminée. Si le candidat doctora</w:t>
      </w:r>
      <w:r w:rsidR="00DB5716" w:rsidRPr="001039FB">
        <w:rPr>
          <w:rFonts w:ascii="Book Antiqua" w:hAnsi="Book Antiqua"/>
          <w:sz w:val="24"/>
          <w:szCs w:val="24"/>
        </w:rPr>
        <w:t>n</w:t>
      </w:r>
      <w:r w:rsidRPr="001039FB">
        <w:rPr>
          <w:rFonts w:ascii="Book Antiqua" w:hAnsi="Book Antiqua"/>
          <w:sz w:val="24"/>
          <w:szCs w:val="24"/>
        </w:rPr>
        <w:t xml:space="preserve">t exerce une activité </w:t>
      </w:r>
      <w:r w:rsidRPr="001039FB">
        <w:rPr>
          <w:rFonts w:ascii="Book Antiqua" w:hAnsi="Book Antiqua"/>
          <w:sz w:val="24"/>
          <w:szCs w:val="24"/>
        </w:rPr>
        <w:lastRenderedPageBreak/>
        <w:t>professionnelle, il est appelé à déclarer au préalable et à tout moment du cycle doctoral son statut professionnel (salarié, fonctionnaire, commerçant, profession libérale, contractuel à durée déterminée, stagiaire…).</w:t>
      </w:r>
    </w:p>
    <w:p w:rsidR="00E77CEB" w:rsidRPr="001039FB" w:rsidRDefault="00E77CEB" w:rsidP="00E77CEB">
      <w:pPr>
        <w:autoSpaceDE w:val="0"/>
        <w:autoSpaceDN w:val="0"/>
        <w:adjustRightInd w:val="0"/>
        <w:spacing w:after="0" w:line="240" w:lineRule="auto"/>
        <w:jc w:val="both"/>
        <w:rPr>
          <w:rFonts w:ascii="Book Antiqua" w:hAnsi="Book Antiqua"/>
          <w:sz w:val="24"/>
          <w:szCs w:val="24"/>
        </w:rPr>
      </w:pPr>
    </w:p>
    <w:p w:rsidR="00AA497D" w:rsidRPr="001039FB" w:rsidRDefault="008418A7"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8 :</w:t>
      </w:r>
      <w:r w:rsidRPr="001039FB">
        <w:rPr>
          <w:rFonts w:ascii="Book Antiqua" w:hAnsi="Book Antiqua"/>
          <w:sz w:val="24"/>
          <w:szCs w:val="24"/>
        </w:rPr>
        <w:t xml:space="preserve"> L’inscription </w:t>
      </w:r>
      <w:r w:rsidR="00A37FB0" w:rsidRPr="001039FB">
        <w:rPr>
          <w:rFonts w:ascii="Book Antiqua" w:hAnsi="Book Antiqua"/>
          <w:sz w:val="24"/>
          <w:szCs w:val="24"/>
        </w:rPr>
        <w:t xml:space="preserve">du doctorant </w:t>
      </w:r>
      <w:r w:rsidRPr="001039FB">
        <w:rPr>
          <w:rFonts w:ascii="Book Antiqua" w:hAnsi="Book Antiqua"/>
          <w:sz w:val="24"/>
          <w:szCs w:val="24"/>
        </w:rPr>
        <w:t xml:space="preserve">est renouvelée chaque année universitaire après avis </w:t>
      </w:r>
      <w:r w:rsidR="00AA497D" w:rsidRPr="001039FB">
        <w:rPr>
          <w:rFonts w:ascii="Book Antiqua" w:hAnsi="Book Antiqua"/>
          <w:sz w:val="24"/>
          <w:szCs w:val="24"/>
        </w:rPr>
        <w:t>favorable du directeur de thèse, directeur d</w:t>
      </w:r>
      <w:r w:rsidR="00A37FB0" w:rsidRPr="001039FB">
        <w:rPr>
          <w:rFonts w:ascii="Book Antiqua" w:hAnsi="Book Antiqua"/>
          <w:sz w:val="24"/>
          <w:szCs w:val="24"/>
        </w:rPr>
        <w:t>u</w:t>
      </w:r>
      <w:r w:rsidR="00AA497D" w:rsidRPr="001039FB">
        <w:rPr>
          <w:rFonts w:ascii="Book Antiqua" w:hAnsi="Book Antiqua"/>
          <w:sz w:val="24"/>
          <w:szCs w:val="24"/>
        </w:rPr>
        <w:t xml:space="preserve"> laboratoire et </w:t>
      </w:r>
      <w:r w:rsidR="00A37FB0" w:rsidRPr="001039FB">
        <w:rPr>
          <w:rFonts w:ascii="Book Antiqua" w:hAnsi="Book Antiqua"/>
          <w:sz w:val="24"/>
          <w:szCs w:val="24"/>
        </w:rPr>
        <w:t xml:space="preserve">du </w:t>
      </w:r>
      <w:r w:rsidR="00AA497D" w:rsidRPr="001039FB">
        <w:rPr>
          <w:rFonts w:ascii="Book Antiqua" w:hAnsi="Book Antiqua"/>
          <w:sz w:val="24"/>
          <w:szCs w:val="24"/>
        </w:rPr>
        <w:t>comité de thèse et ce sur la base d</w:t>
      </w:r>
      <w:r w:rsidR="00A37FB0" w:rsidRPr="001039FB">
        <w:rPr>
          <w:rFonts w:ascii="Book Antiqua" w:hAnsi="Book Antiqua"/>
          <w:sz w:val="24"/>
          <w:szCs w:val="24"/>
        </w:rPr>
        <w:t xml:space="preserve">u/de </w:t>
      </w:r>
      <w:r w:rsidR="003407A8" w:rsidRPr="001039FB">
        <w:rPr>
          <w:rFonts w:ascii="Book Antiqua" w:hAnsi="Book Antiqua"/>
          <w:sz w:val="24"/>
          <w:szCs w:val="24"/>
        </w:rPr>
        <w:t>l’:</w:t>
      </w:r>
    </w:p>
    <w:p w:rsidR="00AA497D" w:rsidRPr="001039FB" w:rsidRDefault="00AA497D" w:rsidP="00AA497D">
      <w:pPr>
        <w:pStyle w:val="Paragraphedeliste"/>
        <w:numPr>
          <w:ilvl w:val="0"/>
          <w:numId w:val="27"/>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Rapport d’activité sur l’état d’avancement de </w:t>
      </w:r>
      <w:r w:rsidR="000772A6" w:rsidRPr="001039FB">
        <w:rPr>
          <w:rFonts w:ascii="Book Antiqua" w:hAnsi="Book Antiqua"/>
          <w:sz w:val="24"/>
          <w:szCs w:val="24"/>
        </w:rPr>
        <w:t>s</w:t>
      </w:r>
      <w:r w:rsidRPr="001039FB">
        <w:rPr>
          <w:rFonts w:ascii="Book Antiqua" w:hAnsi="Book Antiqua"/>
          <w:sz w:val="24"/>
          <w:szCs w:val="24"/>
        </w:rPr>
        <w:t xml:space="preserve">es travaux </w:t>
      </w:r>
      <w:r w:rsidR="000772A6" w:rsidRPr="001039FB">
        <w:rPr>
          <w:rFonts w:ascii="Book Antiqua" w:hAnsi="Book Antiqua"/>
          <w:sz w:val="24"/>
          <w:szCs w:val="24"/>
        </w:rPr>
        <w:t xml:space="preserve">de </w:t>
      </w:r>
      <w:r w:rsidR="00A565D4" w:rsidRPr="001039FB">
        <w:rPr>
          <w:rFonts w:ascii="Book Antiqua" w:hAnsi="Book Antiqua"/>
          <w:sz w:val="24"/>
          <w:szCs w:val="24"/>
        </w:rPr>
        <w:t>re</w:t>
      </w:r>
      <w:r w:rsidR="008418A7" w:rsidRPr="001039FB">
        <w:rPr>
          <w:rFonts w:ascii="Book Antiqua" w:hAnsi="Book Antiqua"/>
          <w:sz w:val="24"/>
          <w:szCs w:val="24"/>
        </w:rPr>
        <w:t>cherche</w:t>
      </w:r>
      <w:r w:rsidRPr="001039FB">
        <w:rPr>
          <w:rFonts w:ascii="Book Antiqua" w:hAnsi="Book Antiqua"/>
          <w:sz w:val="24"/>
          <w:szCs w:val="24"/>
        </w:rPr>
        <w:t> ;</w:t>
      </w:r>
    </w:p>
    <w:p w:rsidR="00AA497D" w:rsidRPr="001039FB" w:rsidRDefault="00AA497D" w:rsidP="00AA497D">
      <w:pPr>
        <w:pStyle w:val="Paragraphedeliste"/>
        <w:numPr>
          <w:ilvl w:val="0"/>
          <w:numId w:val="27"/>
        </w:numPr>
        <w:autoSpaceDE w:val="0"/>
        <w:autoSpaceDN w:val="0"/>
        <w:adjustRightInd w:val="0"/>
        <w:spacing w:after="0" w:line="240" w:lineRule="auto"/>
        <w:jc w:val="both"/>
        <w:rPr>
          <w:rFonts w:ascii="Book Antiqua" w:hAnsi="Book Antiqua"/>
          <w:b/>
          <w:bCs/>
          <w:color w:val="4F81BD" w:themeColor="accent1"/>
          <w:sz w:val="24"/>
          <w:szCs w:val="24"/>
        </w:rPr>
      </w:pPr>
      <w:r w:rsidRPr="001039FB">
        <w:rPr>
          <w:rFonts w:ascii="Book Antiqua" w:hAnsi="Book Antiqua"/>
          <w:sz w:val="24"/>
          <w:szCs w:val="24"/>
        </w:rPr>
        <w:t>Accomplissement de 1/</w:t>
      </w:r>
      <w:r w:rsidR="00A565D4" w:rsidRPr="001039FB">
        <w:rPr>
          <w:rFonts w:ascii="Book Antiqua" w:hAnsi="Book Antiqua"/>
          <w:sz w:val="24"/>
          <w:szCs w:val="24"/>
        </w:rPr>
        <w:t>5</w:t>
      </w:r>
      <w:r w:rsidRPr="001039FB">
        <w:rPr>
          <w:rFonts w:ascii="Book Antiqua" w:hAnsi="Book Antiqua"/>
          <w:sz w:val="24"/>
          <w:szCs w:val="24"/>
        </w:rPr>
        <w:t xml:space="preserve"> d</w:t>
      </w:r>
      <w:r w:rsidR="00F36DF7" w:rsidRPr="001039FB">
        <w:rPr>
          <w:rFonts w:ascii="Book Antiqua" w:hAnsi="Book Antiqua"/>
          <w:sz w:val="24"/>
          <w:szCs w:val="24"/>
        </w:rPr>
        <w:t>u</w:t>
      </w:r>
      <w:r w:rsidRPr="001039FB">
        <w:rPr>
          <w:rFonts w:ascii="Book Antiqua" w:hAnsi="Book Antiqua"/>
          <w:sz w:val="24"/>
          <w:szCs w:val="24"/>
        </w:rPr>
        <w:t xml:space="preserve"> volume horaire </w:t>
      </w:r>
      <w:r w:rsidR="00AA7F30" w:rsidRPr="001039FB">
        <w:rPr>
          <w:rFonts w:ascii="Book Antiqua" w:hAnsi="Book Antiqua"/>
          <w:sz w:val="24"/>
          <w:szCs w:val="24"/>
        </w:rPr>
        <w:t xml:space="preserve">de </w:t>
      </w:r>
      <w:r w:rsidRPr="001039FB">
        <w:rPr>
          <w:rFonts w:ascii="Book Antiqua" w:hAnsi="Book Antiqua"/>
          <w:sz w:val="24"/>
          <w:szCs w:val="24"/>
        </w:rPr>
        <w:t xml:space="preserve">la formation transversale lors de demande de la première réinscription (D1) et </w:t>
      </w:r>
      <w:r w:rsidR="00A565D4" w:rsidRPr="001039FB">
        <w:rPr>
          <w:rFonts w:ascii="Book Antiqua" w:hAnsi="Book Antiqua"/>
          <w:sz w:val="24"/>
          <w:szCs w:val="24"/>
        </w:rPr>
        <w:t>2</w:t>
      </w:r>
      <w:r w:rsidRPr="001039FB">
        <w:rPr>
          <w:rFonts w:ascii="Book Antiqua" w:hAnsi="Book Antiqua"/>
          <w:sz w:val="24"/>
          <w:szCs w:val="24"/>
        </w:rPr>
        <w:t>/</w:t>
      </w:r>
      <w:r w:rsidR="00A565D4" w:rsidRPr="001039FB">
        <w:rPr>
          <w:rFonts w:ascii="Book Antiqua" w:hAnsi="Book Antiqua"/>
          <w:sz w:val="24"/>
          <w:szCs w:val="24"/>
        </w:rPr>
        <w:t>5</w:t>
      </w:r>
      <w:r w:rsidRPr="001039FB">
        <w:rPr>
          <w:rFonts w:ascii="Book Antiqua" w:hAnsi="Book Antiqua"/>
          <w:sz w:val="24"/>
          <w:szCs w:val="24"/>
        </w:rPr>
        <w:t xml:space="preserve"> restant lors de la demande deuxième réinscription</w:t>
      </w:r>
      <w:r w:rsidR="00532515" w:rsidRPr="001039FB">
        <w:rPr>
          <w:rFonts w:ascii="Book Antiqua" w:hAnsi="Book Antiqua"/>
          <w:sz w:val="24"/>
          <w:szCs w:val="24"/>
        </w:rPr>
        <w:t xml:space="preserve"> (D2)</w:t>
      </w:r>
      <w:r w:rsidRPr="001039FB">
        <w:rPr>
          <w:rFonts w:ascii="Book Antiqua" w:hAnsi="Book Antiqua"/>
          <w:sz w:val="24"/>
          <w:szCs w:val="24"/>
        </w:rPr>
        <w:t>.</w:t>
      </w:r>
    </w:p>
    <w:p w:rsidR="004C00E3" w:rsidRPr="001039FB" w:rsidRDefault="004C00E3" w:rsidP="004C00E3">
      <w:pPr>
        <w:autoSpaceDE w:val="0"/>
        <w:autoSpaceDN w:val="0"/>
        <w:adjustRightInd w:val="0"/>
        <w:spacing w:after="0" w:line="240" w:lineRule="auto"/>
        <w:jc w:val="both"/>
        <w:rPr>
          <w:rFonts w:ascii="Book Antiqua" w:hAnsi="Book Antiqua"/>
          <w:b/>
          <w:bCs/>
          <w:color w:val="4F81BD" w:themeColor="accent1"/>
          <w:sz w:val="24"/>
          <w:szCs w:val="24"/>
        </w:rPr>
      </w:pPr>
    </w:p>
    <w:p w:rsidR="004C00E3" w:rsidRPr="001039FB" w:rsidRDefault="004C00E3" w:rsidP="004C00E3">
      <w:pPr>
        <w:autoSpaceDE w:val="0"/>
        <w:autoSpaceDN w:val="0"/>
        <w:adjustRightInd w:val="0"/>
        <w:spacing w:after="0" w:line="240" w:lineRule="auto"/>
        <w:jc w:val="both"/>
        <w:rPr>
          <w:rFonts w:ascii="Book Antiqua" w:hAnsi="Book Antiqua"/>
          <w:b/>
          <w:bCs/>
          <w:color w:val="4F81BD" w:themeColor="accent1"/>
          <w:sz w:val="24"/>
          <w:szCs w:val="24"/>
        </w:rPr>
      </w:pPr>
      <w:r w:rsidRPr="001039FB">
        <w:rPr>
          <w:rFonts w:ascii="Book Antiqua" w:hAnsi="Book Antiqua"/>
          <w:b/>
          <w:bCs/>
          <w:color w:val="4F81BD" w:themeColor="accent1"/>
          <w:sz w:val="24"/>
          <w:szCs w:val="24"/>
        </w:rPr>
        <w:t xml:space="preserve">Article n°9 : </w:t>
      </w:r>
      <w:r w:rsidRPr="001039FB">
        <w:rPr>
          <w:rFonts w:ascii="Book Antiqua" w:hAnsi="Book Antiqua"/>
          <w:sz w:val="24"/>
          <w:szCs w:val="24"/>
        </w:rPr>
        <w:t xml:space="preserve">Le laboratoire doit assurer le </w:t>
      </w:r>
      <w:r w:rsidR="00A565D4" w:rsidRPr="001039FB">
        <w:rPr>
          <w:rFonts w:ascii="Book Antiqua" w:hAnsi="Book Antiqua"/>
          <w:sz w:val="24"/>
          <w:szCs w:val="24"/>
        </w:rPr>
        <w:t>2</w:t>
      </w:r>
      <w:r w:rsidRPr="001039FB">
        <w:rPr>
          <w:rFonts w:ascii="Book Antiqua" w:hAnsi="Book Antiqua"/>
          <w:sz w:val="24"/>
          <w:szCs w:val="24"/>
        </w:rPr>
        <w:t>/</w:t>
      </w:r>
      <w:r w:rsidR="00A565D4" w:rsidRPr="001039FB">
        <w:rPr>
          <w:rFonts w:ascii="Book Antiqua" w:hAnsi="Book Antiqua"/>
          <w:sz w:val="24"/>
          <w:szCs w:val="24"/>
        </w:rPr>
        <w:t xml:space="preserve">5 </w:t>
      </w:r>
      <w:r w:rsidRPr="001039FB">
        <w:rPr>
          <w:rFonts w:ascii="Book Antiqua" w:hAnsi="Book Antiqua"/>
          <w:sz w:val="24"/>
          <w:szCs w:val="24"/>
        </w:rPr>
        <w:t>d</w:t>
      </w:r>
      <w:r w:rsidR="00F36DF7" w:rsidRPr="001039FB">
        <w:rPr>
          <w:rFonts w:ascii="Book Antiqua" w:hAnsi="Book Antiqua"/>
          <w:sz w:val="24"/>
          <w:szCs w:val="24"/>
        </w:rPr>
        <w:t>u</w:t>
      </w:r>
      <w:r w:rsidRPr="001039FB">
        <w:rPr>
          <w:rFonts w:ascii="Book Antiqua" w:hAnsi="Book Antiqua"/>
          <w:sz w:val="24"/>
          <w:szCs w:val="24"/>
        </w:rPr>
        <w:t xml:space="preserve"> volume horaire </w:t>
      </w:r>
      <w:r w:rsidR="00A83CDF" w:rsidRPr="001039FB">
        <w:rPr>
          <w:rFonts w:ascii="Book Antiqua" w:hAnsi="Book Antiqua"/>
          <w:sz w:val="24"/>
          <w:szCs w:val="24"/>
        </w:rPr>
        <w:t xml:space="preserve">en </w:t>
      </w:r>
      <w:r w:rsidRPr="001039FB">
        <w:rPr>
          <w:rFonts w:ascii="Book Antiqua" w:hAnsi="Book Antiqua"/>
          <w:sz w:val="24"/>
          <w:szCs w:val="24"/>
        </w:rPr>
        <w:t>formation spécifique</w:t>
      </w:r>
      <w:r w:rsidR="00A83CDF" w:rsidRPr="001039FB">
        <w:rPr>
          <w:rFonts w:ascii="Book Antiqua" w:hAnsi="Book Antiqua"/>
          <w:sz w:val="24"/>
          <w:szCs w:val="24"/>
        </w:rPr>
        <w:t xml:space="preserve"> (conférence, séminaire …..) </w:t>
      </w:r>
      <w:r w:rsidRPr="001039FB">
        <w:rPr>
          <w:rFonts w:ascii="Book Antiqua" w:hAnsi="Book Antiqua"/>
          <w:sz w:val="24"/>
          <w:szCs w:val="24"/>
        </w:rPr>
        <w:t>sous forme des activités au sein du laboratoire d’accueil.</w:t>
      </w:r>
    </w:p>
    <w:p w:rsidR="000C283F" w:rsidRDefault="000C283F" w:rsidP="00E77CEB">
      <w:pPr>
        <w:autoSpaceDE w:val="0"/>
        <w:autoSpaceDN w:val="0"/>
        <w:adjustRightInd w:val="0"/>
        <w:spacing w:after="0" w:line="240" w:lineRule="auto"/>
        <w:jc w:val="both"/>
        <w:rPr>
          <w:rFonts w:ascii="Book Antiqua" w:hAnsi="Book Antiqua"/>
          <w:b/>
          <w:bCs/>
          <w:color w:val="4F81BD" w:themeColor="accent1"/>
          <w:sz w:val="24"/>
          <w:szCs w:val="24"/>
        </w:rPr>
      </w:pPr>
    </w:p>
    <w:p w:rsidR="0049279B" w:rsidRPr="001039FB" w:rsidRDefault="008418A7"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 xml:space="preserve">Article </w:t>
      </w:r>
      <w:r w:rsidR="004C00E3" w:rsidRPr="001039FB">
        <w:rPr>
          <w:rFonts w:ascii="Book Antiqua" w:hAnsi="Book Antiqua"/>
          <w:b/>
          <w:bCs/>
          <w:color w:val="4F81BD" w:themeColor="accent1"/>
          <w:sz w:val="24"/>
          <w:szCs w:val="24"/>
        </w:rPr>
        <w:t xml:space="preserve">10 </w:t>
      </w:r>
      <w:r w:rsidRPr="001039FB">
        <w:rPr>
          <w:rFonts w:ascii="Book Antiqua" w:hAnsi="Book Antiqua"/>
          <w:b/>
          <w:bCs/>
          <w:color w:val="4F81BD" w:themeColor="accent1"/>
          <w:sz w:val="24"/>
          <w:szCs w:val="24"/>
        </w:rPr>
        <w:t>:</w:t>
      </w:r>
      <w:r w:rsidRPr="001039FB">
        <w:rPr>
          <w:rFonts w:ascii="Book Antiqua" w:hAnsi="Book Antiqua"/>
          <w:sz w:val="24"/>
          <w:szCs w:val="24"/>
        </w:rPr>
        <w:t xml:space="preserve"> La durée de préparation du doctorat est de trois ans avec trois </w:t>
      </w:r>
      <w:r w:rsidR="004C00E3" w:rsidRPr="001039FB">
        <w:rPr>
          <w:rFonts w:ascii="Book Antiqua" w:hAnsi="Book Antiqua"/>
          <w:sz w:val="24"/>
          <w:szCs w:val="24"/>
        </w:rPr>
        <w:t xml:space="preserve">dérogations </w:t>
      </w:r>
      <w:r w:rsidRPr="001039FB">
        <w:rPr>
          <w:rFonts w:ascii="Book Antiqua" w:hAnsi="Book Antiqua"/>
          <w:sz w:val="24"/>
          <w:szCs w:val="24"/>
        </w:rPr>
        <w:t xml:space="preserve">conditionnées. Chaque </w:t>
      </w:r>
      <w:r w:rsidR="004C00E3" w:rsidRPr="001039FB">
        <w:rPr>
          <w:rFonts w:ascii="Book Antiqua" w:hAnsi="Book Antiqua"/>
          <w:sz w:val="24"/>
          <w:szCs w:val="24"/>
        </w:rPr>
        <w:t xml:space="preserve">dérogation </w:t>
      </w:r>
      <w:r w:rsidRPr="001039FB">
        <w:rPr>
          <w:rFonts w:ascii="Book Antiqua" w:hAnsi="Book Antiqua"/>
          <w:sz w:val="24"/>
          <w:szCs w:val="24"/>
        </w:rPr>
        <w:t>fait l’objet d’une demande justifiée</w:t>
      </w:r>
      <w:r w:rsidR="009A40C5" w:rsidRPr="001039FB">
        <w:rPr>
          <w:rFonts w:ascii="Book Antiqua" w:hAnsi="Book Antiqua"/>
          <w:sz w:val="24"/>
          <w:szCs w:val="24"/>
        </w:rPr>
        <w:t xml:space="preserve"> par l’encadrant</w:t>
      </w:r>
      <w:r w:rsidRPr="001039FB">
        <w:rPr>
          <w:rFonts w:ascii="Book Antiqua" w:hAnsi="Book Antiqua"/>
          <w:sz w:val="24"/>
          <w:szCs w:val="24"/>
        </w:rPr>
        <w:t>.</w:t>
      </w:r>
    </w:p>
    <w:p w:rsidR="008418A7" w:rsidRPr="001039FB" w:rsidRDefault="0049279B" w:rsidP="00AA7F30">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Chaque dérogation doit être accordée </w:t>
      </w:r>
      <w:r w:rsidR="004C00E3" w:rsidRPr="001039FB">
        <w:rPr>
          <w:rFonts w:ascii="Book Antiqua" w:hAnsi="Book Antiqua"/>
          <w:sz w:val="24"/>
          <w:szCs w:val="24"/>
        </w:rPr>
        <w:t xml:space="preserve">par le directeur de CED de l’université après avis favorable du </w:t>
      </w:r>
      <w:r w:rsidR="007E1B2E" w:rsidRPr="001039FB">
        <w:rPr>
          <w:rFonts w:ascii="Book Antiqua" w:hAnsi="Book Antiqua"/>
          <w:sz w:val="24"/>
          <w:szCs w:val="24"/>
        </w:rPr>
        <w:t>directeur d</w:t>
      </w:r>
      <w:r w:rsidR="004C00E3" w:rsidRPr="001039FB">
        <w:rPr>
          <w:rFonts w:ascii="Book Antiqua" w:hAnsi="Book Antiqua"/>
          <w:sz w:val="24"/>
          <w:szCs w:val="24"/>
        </w:rPr>
        <w:t xml:space="preserve">u laboratoire et </w:t>
      </w:r>
      <w:r w:rsidR="007E471B" w:rsidRPr="001039FB">
        <w:rPr>
          <w:rFonts w:ascii="Book Antiqua" w:hAnsi="Book Antiqua"/>
          <w:sz w:val="24"/>
          <w:szCs w:val="24"/>
        </w:rPr>
        <w:t>du</w:t>
      </w:r>
      <w:r w:rsidR="004C00E3" w:rsidRPr="001039FB">
        <w:rPr>
          <w:rFonts w:ascii="Book Antiqua" w:hAnsi="Book Antiqua"/>
          <w:sz w:val="24"/>
          <w:szCs w:val="24"/>
        </w:rPr>
        <w:t xml:space="preserve"> chef d</w:t>
      </w:r>
      <w:r w:rsidR="0027050F" w:rsidRPr="001039FB">
        <w:rPr>
          <w:rFonts w:ascii="Book Antiqua" w:hAnsi="Book Antiqua"/>
          <w:sz w:val="24"/>
          <w:szCs w:val="24"/>
        </w:rPr>
        <w:t>e l</w:t>
      </w:r>
      <w:r w:rsidR="008418A7" w:rsidRPr="001039FB">
        <w:rPr>
          <w:rFonts w:ascii="Book Antiqua" w:hAnsi="Book Antiqua"/>
          <w:sz w:val="24"/>
          <w:szCs w:val="24"/>
        </w:rPr>
        <w:t xml:space="preserve">’établissement </w:t>
      </w:r>
      <w:r w:rsidR="004C00E3" w:rsidRPr="001039FB">
        <w:rPr>
          <w:rFonts w:ascii="Book Antiqua" w:hAnsi="Book Antiqua"/>
          <w:sz w:val="24"/>
          <w:szCs w:val="24"/>
        </w:rPr>
        <w:t>participant sur la formation</w:t>
      </w:r>
      <w:r w:rsidR="00C50600" w:rsidRPr="001039FB">
        <w:rPr>
          <w:rFonts w:ascii="Book Antiqua" w:hAnsi="Book Antiqua"/>
          <w:sz w:val="24"/>
          <w:szCs w:val="24"/>
        </w:rPr>
        <w:t xml:space="preserve">. </w:t>
      </w:r>
      <w:r w:rsidR="00AA7F30" w:rsidRPr="001039FB">
        <w:rPr>
          <w:rFonts w:ascii="Book Antiqua" w:hAnsi="Book Antiqua"/>
          <w:sz w:val="24"/>
          <w:szCs w:val="24"/>
        </w:rPr>
        <w:t>L’encadrant n’est pas autorisé à déléguer l’encadrant du doctorant à une</w:t>
      </w:r>
      <w:r w:rsidR="003407A8" w:rsidRPr="001039FB">
        <w:rPr>
          <w:rFonts w:ascii="Book Antiqua" w:hAnsi="Book Antiqua"/>
          <w:sz w:val="24"/>
          <w:szCs w:val="24"/>
        </w:rPr>
        <w:t xml:space="preserve"> tierce personne.</w:t>
      </w:r>
    </w:p>
    <w:p w:rsidR="00AA7F30" w:rsidRPr="001039FB" w:rsidRDefault="00AA7F30" w:rsidP="004C00E3">
      <w:pPr>
        <w:autoSpaceDE w:val="0"/>
        <w:autoSpaceDN w:val="0"/>
        <w:adjustRightInd w:val="0"/>
        <w:spacing w:after="0" w:line="240" w:lineRule="auto"/>
        <w:jc w:val="both"/>
        <w:rPr>
          <w:rFonts w:ascii="Book Antiqua" w:hAnsi="Book Antiqua"/>
          <w:b/>
          <w:bCs/>
          <w:color w:val="4F81BD" w:themeColor="accent1"/>
          <w:sz w:val="24"/>
          <w:szCs w:val="24"/>
        </w:rPr>
      </w:pPr>
    </w:p>
    <w:p w:rsidR="004C00E3" w:rsidRPr="001039FB" w:rsidRDefault="008418A7" w:rsidP="004C00E3">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4C00E3" w:rsidRPr="001039FB">
        <w:rPr>
          <w:rFonts w:ascii="Book Antiqua" w:hAnsi="Book Antiqua"/>
          <w:b/>
          <w:bCs/>
          <w:color w:val="4F81BD" w:themeColor="accent1"/>
          <w:sz w:val="24"/>
          <w:szCs w:val="24"/>
        </w:rPr>
        <w:t>1</w:t>
      </w:r>
      <w:r w:rsidRPr="001039FB">
        <w:rPr>
          <w:rFonts w:ascii="Book Antiqua" w:hAnsi="Book Antiqua"/>
          <w:b/>
          <w:bCs/>
          <w:color w:val="4F81BD" w:themeColor="accent1"/>
          <w:sz w:val="24"/>
          <w:szCs w:val="24"/>
        </w:rPr>
        <w:t xml:space="preserve"> :</w:t>
      </w:r>
      <w:r w:rsidR="007D2E43">
        <w:rPr>
          <w:rFonts w:ascii="Book Antiqua" w:hAnsi="Book Antiqua"/>
          <w:b/>
          <w:bCs/>
          <w:color w:val="4F81BD" w:themeColor="accent1"/>
          <w:sz w:val="24"/>
          <w:szCs w:val="24"/>
        </w:rPr>
        <w:t xml:space="preserve"> </w:t>
      </w:r>
      <w:r w:rsidR="004C00E3" w:rsidRPr="001039FB">
        <w:rPr>
          <w:rFonts w:ascii="Book Antiqua" w:hAnsi="Book Antiqua"/>
          <w:sz w:val="24"/>
          <w:szCs w:val="24"/>
        </w:rPr>
        <w:t>les critères de l</w:t>
      </w:r>
      <w:r w:rsidRPr="001039FB">
        <w:rPr>
          <w:rFonts w:ascii="Book Antiqua" w:hAnsi="Book Antiqua"/>
          <w:sz w:val="24"/>
          <w:szCs w:val="24"/>
        </w:rPr>
        <w:t xml:space="preserve">’octroi des dérogations </w:t>
      </w:r>
      <w:r w:rsidR="004C00E3" w:rsidRPr="001039FB">
        <w:rPr>
          <w:rFonts w:ascii="Book Antiqua" w:hAnsi="Book Antiqua"/>
          <w:sz w:val="24"/>
          <w:szCs w:val="24"/>
        </w:rPr>
        <w:t xml:space="preserve">sont : </w:t>
      </w:r>
    </w:p>
    <w:p w:rsidR="004C00E3" w:rsidRPr="001039FB" w:rsidRDefault="004C00E3" w:rsidP="004C00E3">
      <w:pPr>
        <w:autoSpaceDE w:val="0"/>
        <w:autoSpaceDN w:val="0"/>
        <w:adjustRightInd w:val="0"/>
        <w:spacing w:after="0" w:line="240" w:lineRule="auto"/>
        <w:jc w:val="both"/>
        <w:rPr>
          <w:rFonts w:ascii="Book Antiqua" w:hAnsi="Book Antiqua"/>
          <w:sz w:val="24"/>
          <w:szCs w:val="24"/>
        </w:rPr>
      </w:pPr>
    </w:p>
    <w:p w:rsidR="008418A7" w:rsidRPr="001039FB" w:rsidRDefault="008418A7" w:rsidP="004C00E3">
      <w:pPr>
        <w:pStyle w:val="Paragraphedeliste"/>
        <w:numPr>
          <w:ilvl w:val="0"/>
          <w:numId w:val="28"/>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première dérogation (4</w:t>
      </w:r>
      <w:r w:rsidR="00AB3E02" w:rsidRPr="001039FB">
        <w:rPr>
          <w:rFonts w:ascii="Book Antiqua" w:hAnsi="Book Antiqua"/>
          <w:sz w:val="24"/>
          <w:szCs w:val="24"/>
          <w:vertAlign w:val="superscript"/>
        </w:rPr>
        <w:t>ème</w:t>
      </w:r>
      <w:r w:rsidR="0092125D">
        <w:rPr>
          <w:rFonts w:ascii="Book Antiqua" w:hAnsi="Book Antiqua"/>
          <w:sz w:val="24"/>
          <w:szCs w:val="24"/>
          <w:vertAlign w:val="superscript"/>
        </w:rPr>
        <w:t xml:space="preserve"> </w:t>
      </w:r>
      <w:r w:rsidRPr="001039FB">
        <w:rPr>
          <w:rFonts w:ascii="Book Antiqua" w:hAnsi="Book Antiqua"/>
          <w:sz w:val="24"/>
          <w:szCs w:val="24"/>
        </w:rPr>
        <w:t xml:space="preserve">inscription) est attribuée si au moins un article scientifique est déjà soumis pour publication dans l’une des revues scientifiques mentionnées dans l’article </w:t>
      </w:r>
      <w:r w:rsidR="00494017" w:rsidRPr="001039FB">
        <w:rPr>
          <w:rFonts w:ascii="Book Antiqua" w:hAnsi="Book Antiqua"/>
          <w:sz w:val="24"/>
          <w:szCs w:val="24"/>
        </w:rPr>
        <w:t>1</w:t>
      </w:r>
      <w:r w:rsidR="003875B7" w:rsidRPr="001039FB">
        <w:rPr>
          <w:rFonts w:ascii="Book Antiqua" w:hAnsi="Book Antiqua"/>
          <w:sz w:val="24"/>
          <w:szCs w:val="24"/>
        </w:rPr>
        <w:t>8</w:t>
      </w:r>
      <w:r w:rsidRPr="001039FB">
        <w:rPr>
          <w:rFonts w:ascii="Book Antiqua" w:hAnsi="Book Antiqua"/>
          <w:sz w:val="24"/>
          <w:szCs w:val="24"/>
        </w:rPr>
        <w:t xml:space="preserve"> ci-dessous. </w:t>
      </w:r>
    </w:p>
    <w:p w:rsidR="008418A7" w:rsidRPr="001039FB" w:rsidRDefault="008418A7" w:rsidP="00494017">
      <w:pPr>
        <w:pStyle w:val="Paragraphedeliste"/>
        <w:numPr>
          <w:ilvl w:val="0"/>
          <w:numId w:val="19"/>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deuxième dérogation (5</w:t>
      </w:r>
      <w:r w:rsidR="00AB3E02" w:rsidRPr="001039FB">
        <w:rPr>
          <w:rFonts w:ascii="Book Antiqua" w:hAnsi="Book Antiqua"/>
          <w:sz w:val="24"/>
          <w:szCs w:val="24"/>
          <w:vertAlign w:val="superscript"/>
        </w:rPr>
        <w:t>ème</w:t>
      </w:r>
      <w:r w:rsidRPr="001039FB">
        <w:rPr>
          <w:rFonts w:ascii="Book Antiqua" w:hAnsi="Book Antiqua"/>
          <w:sz w:val="24"/>
          <w:szCs w:val="24"/>
        </w:rPr>
        <w:t xml:space="preserve">inscription) n’est accordée que si au moins un article est publié dans l’une des revues scientifiques mentionnées dans l’article </w:t>
      </w:r>
      <w:r w:rsidR="00494017" w:rsidRPr="001039FB">
        <w:rPr>
          <w:rFonts w:ascii="Book Antiqua" w:hAnsi="Book Antiqua"/>
          <w:sz w:val="24"/>
          <w:szCs w:val="24"/>
        </w:rPr>
        <w:t>1</w:t>
      </w:r>
      <w:r w:rsidR="003875B7" w:rsidRPr="001039FB">
        <w:rPr>
          <w:rFonts w:ascii="Book Antiqua" w:hAnsi="Book Antiqua"/>
          <w:sz w:val="24"/>
          <w:szCs w:val="24"/>
        </w:rPr>
        <w:t>8</w:t>
      </w:r>
      <w:r w:rsidRPr="001039FB">
        <w:rPr>
          <w:rFonts w:ascii="Book Antiqua" w:hAnsi="Book Antiqua"/>
          <w:sz w:val="24"/>
          <w:szCs w:val="24"/>
        </w:rPr>
        <w:t xml:space="preserve">ci-dessous. </w:t>
      </w:r>
    </w:p>
    <w:p w:rsidR="008418A7" w:rsidRPr="001039FB" w:rsidRDefault="008418A7" w:rsidP="008418A7">
      <w:pPr>
        <w:pStyle w:val="Paragraphedeliste"/>
        <w:numPr>
          <w:ilvl w:val="0"/>
          <w:numId w:val="19"/>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troisième dérogation (6</w:t>
      </w:r>
      <w:r w:rsidR="001B48F2" w:rsidRPr="001039FB">
        <w:rPr>
          <w:rFonts w:ascii="Book Antiqua" w:hAnsi="Book Antiqua"/>
          <w:sz w:val="24"/>
          <w:szCs w:val="24"/>
          <w:vertAlign w:val="superscript"/>
        </w:rPr>
        <w:t>ème</w:t>
      </w:r>
      <w:r w:rsidRPr="001039FB">
        <w:rPr>
          <w:rFonts w:ascii="Book Antiqua" w:hAnsi="Book Antiqua"/>
          <w:sz w:val="24"/>
          <w:szCs w:val="24"/>
        </w:rPr>
        <w:t>inscription) ne peut être accordée que si les conditions 3, 4 et 5 de l’article 2</w:t>
      </w:r>
      <w:r w:rsidR="003875B7" w:rsidRPr="001039FB">
        <w:rPr>
          <w:rFonts w:ascii="Book Antiqua" w:hAnsi="Book Antiqua"/>
          <w:sz w:val="24"/>
          <w:szCs w:val="24"/>
        </w:rPr>
        <w:t>0</w:t>
      </w:r>
      <w:r w:rsidRPr="001039FB">
        <w:rPr>
          <w:rFonts w:ascii="Book Antiqua" w:hAnsi="Book Antiqua"/>
          <w:sz w:val="24"/>
          <w:szCs w:val="24"/>
        </w:rPr>
        <w:t xml:space="preserve"> ci-dessous sont accomplies. La troisième dérogation est attribuée exclusivement pour achever la rédaction de la thèse. </w:t>
      </w:r>
    </w:p>
    <w:p w:rsidR="008418A7" w:rsidRPr="001039FB" w:rsidRDefault="008418A7" w:rsidP="00E77CEB">
      <w:pPr>
        <w:autoSpaceDE w:val="0"/>
        <w:autoSpaceDN w:val="0"/>
        <w:adjustRightInd w:val="0"/>
        <w:spacing w:after="0" w:line="240" w:lineRule="auto"/>
        <w:jc w:val="both"/>
        <w:rPr>
          <w:rFonts w:ascii="Book Antiqua" w:hAnsi="Book Antiqua"/>
          <w:sz w:val="24"/>
          <w:szCs w:val="24"/>
        </w:rPr>
      </w:pPr>
    </w:p>
    <w:p w:rsidR="008418A7" w:rsidRPr="001039FB" w:rsidRDefault="008418A7" w:rsidP="00E77CEB">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1B48F2" w:rsidRPr="001039FB">
        <w:rPr>
          <w:rFonts w:ascii="Book Antiqua" w:hAnsi="Book Antiqua"/>
          <w:b/>
          <w:bCs/>
          <w:color w:val="4F81BD" w:themeColor="accent1"/>
          <w:sz w:val="24"/>
          <w:szCs w:val="24"/>
        </w:rPr>
        <w:t>2</w:t>
      </w:r>
      <w:r w:rsidRPr="001039FB">
        <w:rPr>
          <w:rFonts w:ascii="Book Antiqua" w:hAnsi="Book Antiqua"/>
          <w:b/>
          <w:bCs/>
          <w:color w:val="4F81BD" w:themeColor="accent1"/>
          <w:sz w:val="24"/>
          <w:szCs w:val="24"/>
        </w:rPr>
        <w:t xml:space="preserve"> :</w:t>
      </w:r>
      <w:r w:rsidRPr="001039FB">
        <w:rPr>
          <w:rFonts w:ascii="Book Antiqua" w:hAnsi="Book Antiqua"/>
          <w:sz w:val="24"/>
          <w:szCs w:val="24"/>
        </w:rPr>
        <w:t xml:space="preserve"> En cas d’octroi de la </w:t>
      </w:r>
      <w:r w:rsidR="001B48F2" w:rsidRPr="001039FB">
        <w:rPr>
          <w:rFonts w:ascii="Book Antiqua" w:hAnsi="Book Antiqua"/>
          <w:sz w:val="24"/>
          <w:szCs w:val="24"/>
        </w:rPr>
        <w:t xml:space="preserve">troisième dérogation </w:t>
      </w:r>
      <w:r w:rsidRPr="001039FB">
        <w:rPr>
          <w:rFonts w:ascii="Book Antiqua" w:hAnsi="Book Antiqua"/>
          <w:sz w:val="24"/>
          <w:szCs w:val="24"/>
        </w:rPr>
        <w:t>(6</w:t>
      </w:r>
      <w:r w:rsidR="002E3251" w:rsidRPr="001039FB">
        <w:rPr>
          <w:rFonts w:ascii="Book Antiqua" w:hAnsi="Book Antiqua"/>
          <w:sz w:val="24"/>
          <w:szCs w:val="24"/>
          <w:vertAlign w:val="superscript"/>
        </w:rPr>
        <w:t>ème</w:t>
      </w:r>
      <w:r w:rsidR="00E37199">
        <w:rPr>
          <w:rFonts w:ascii="Book Antiqua" w:hAnsi="Book Antiqua"/>
          <w:sz w:val="24"/>
          <w:szCs w:val="24"/>
          <w:vertAlign w:val="superscript"/>
        </w:rPr>
        <w:t xml:space="preserve"> </w:t>
      </w:r>
      <w:r w:rsidRPr="001039FB">
        <w:rPr>
          <w:rFonts w:ascii="Book Antiqua" w:hAnsi="Book Antiqua"/>
          <w:sz w:val="24"/>
          <w:szCs w:val="24"/>
        </w:rPr>
        <w:t>inscription</w:t>
      </w:r>
      <w:r w:rsidR="00D5743A" w:rsidRPr="001039FB">
        <w:rPr>
          <w:rFonts w:ascii="Book Antiqua" w:hAnsi="Book Antiqua"/>
          <w:sz w:val="24"/>
          <w:szCs w:val="24"/>
        </w:rPr>
        <w:t>)</w:t>
      </w:r>
      <w:r w:rsidRPr="001039FB">
        <w:rPr>
          <w:rFonts w:ascii="Book Antiqua" w:hAnsi="Book Antiqua"/>
          <w:sz w:val="24"/>
          <w:szCs w:val="24"/>
        </w:rPr>
        <w:t xml:space="preserve">, le dossier complet remplissant toutes les conditions requises pour engager la procédure de soutenance doit être soumis au plus tard le 30 juin de </w:t>
      </w:r>
      <w:r w:rsidR="001B48F2" w:rsidRPr="001039FB">
        <w:rPr>
          <w:rFonts w:ascii="Book Antiqua" w:hAnsi="Book Antiqua"/>
          <w:sz w:val="24"/>
          <w:szCs w:val="24"/>
        </w:rPr>
        <w:t xml:space="preserve">l’année de </w:t>
      </w:r>
      <w:r w:rsidRPr="001039FB">
        <w:rPr>
          <w:rFonts w:ascii="Book Antiqua" w:hAnsi="Book Antiqua"/>
          <w:sz w:val="24"/>
          <w:szCs w:val="24"/>
        </w:rPr>
        <w:t>la 6</w:t>
      </w:r>
      <w:r w:rsidRPr="001039FB">
        <w:rPr>
          <w:rFonts w:ascii="Book Antiqua" w:hAnsi="Book Antiqua"/>
          <w:sz w:val="24"/>
          <w:szCs w:val="24"/>
          <w:vertAlign w:val="superscript"/>
        </w:rPr>
        <w:t>ème</w:t>
      </w:r>
      <w:r w:rsidRPr="001039FB">
        <w:rPr>
          <w:rFonts w:ascii="Book Antiqua" w:hAnsi="Book Antiqua"/>
          <w:sz w:val="24"/>
          <w:szCs w:val="24"/>
        </w:rPr>
        <w:t xml:space="preserve"> année d’inscription.</w:t>
      </w:r>
    </w:p>
    <w:p w:rsidR="001039FB" w:rsidRDefault="00372D5E" w:rsidP="00BC7184">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Le collège de formation doctoral statue sur l’acceptation définitive du dossier et sur la date de soutenance.</w:t>
      </w: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223CCC" w:rsidRDefault="00223CCC" w:rsidP="00BC7184">
      <w:pPr>
        <w:autoSpaceDE w:val="0"/>
        <w:autoSpaceDN w:val="0"/>
        <w:adjustRightInd w:val="0"/>
        <w:spacing w:after="0" w:line="240" w:lineRule="auto"/>
        <w:jc w:val="both"/>
        <w:rPr>
          <w:rFonts w:ascii="Book Antiqua" w:hAnsi="Book Antiqua"/>
          <w:sz w:val="24"/>
          <w:szCs w:val="24"/>
        </w:rPr>
      </w:pPr>
    </w:p>
    <w:p w:rsidR="001039FB" w:rsidRPr="001039FB" w:rsidRDefault="001039FB" w:rsidP="00E77CEB">
      <w:pPr>
        <w:autoSpaceDE w:val="0"/>
        <w:autoSpaceDN w:val="0"/>
        <w:adjustRightInd w:val="0"/>
        <w:spacing w:after="0" w:line="240" w:lineRule="auto"/>
        <w:jc w:val="both"/>
        <w:rPr>
          <w:rFonts w:ascii="Book Antiqua" w:hAnsi="Book Antiqua"/>
          <w:sz w:val="24"/>
          <w:szCs w:val="24"/>
        </w:rPr>
      </w:pPr>
    </w:p>
    <w:p w:rsidR="008418A7" w:rsidRPr="001039FB" w:rsidRDefault="00E5227D" w:rsidP="008418A7">
      <w:pPr>
        <w:autoSpaceDE w:val="0"/>
        <w:autoSpaceDN w:val="0"/>
        <w:adjustRightInd w:val="0"/>
        <w:spacing w:after="0" w:line="240" w:lineRule="auto"/>
        <w:jc w:val="center"/>
        <w:rPr>
          <w:rFonts w:ascii="Book Antiqua" w:hAnsi="Book Antiqua"/>
          <w:b/>
          <w:bCs/>
          <w:color w:val="4F81BD" w:themeColor="accent1"/>
          <w:sz w:val="36"/>
          <w:szCs w:val="36"/>
        </w:rPr>
      </w:pPr>
      <w:r w:rsidRPr="001039FB">
        <w:rPr>
          <w:rFonts w:ascii="Book Antiqua" w:hAnsi="Book Antiqua"/>
          <w:b/>
          <w:bCs/>
          <w:color w:val="4F81BD" w:themeColor="accent1"/>
          <w:sz w:val="36"/>
          <w:szCs w:val="36"/>
        </w:rPr>
        <w:t xml:space="preserve">Chapitre n°2 : </w:t>
      </w:r>
      <w:r w:rsidR="008418A7" w:rsidRPr="001039FB">
        <w:rPr>
          <w:rFonts w:ascii="Book Antiqua" w:hAnsi="Book Antiqua"/>
          <w:b/>
          <w:bCs/>
          <w:color w:val="4F81BD" w:themeColor="accent1"/>
          <w:sz w:val="36"/>
          <w:szCs w:val="36"/>
        </w:rPr>
        <w:t xml:space="preserve">Encadrement et </w:t>
      </w:r>
      <w:r w:rsidR="0027050F" w:rsidRPr="001039FB">
        <w:rPr>
          <w:rFonts w:ascii="Book Antiqua" w:hAnsi="Book Antiqua"/>
          <w:b/>
          <w:bCs/>
          <w:color w:val="4F81BD" w:themeColor="accent1"/>
          <w:sz w:val="36"/>
          <w:szCs w:val="36"/>
        </w:rPr>
        <w:t>S</w:t>
      </w:r>
      <w:r w:rsidR="008418A7" w:rsidRPr="001039FB">
        <w:rPr>
          <w:rFonts w:ascii="Book Antiqua" w:hAnsi="Book Antiqua"/>
          <w:b/>
          <w:bCs/>
          <w:color w:val="4F81BD" w:themeColor="accent1"/>
          <w:sz w:val="36"/>
          <w:szCs w:val="36"/>
        </w:rPr>
        <w:t>uivi</w:t>
      </w:r>
    </w:p>
    <w:p w:rsidR="008418A7" w:rsidRPr="001039FB" w:rsidRDefault="008418A7" w:rsidP="008418A7">
      <w:pPr>
        <w:autoSpaceDE w:val="0"/>
        <w:autoSpaceDN w:val="0"/>
        <w:adjustRightInd w:val="0"/>
        <w:spacing w:after="0" w:line="240" w:lineRule="auto"/>
        <w:jc w:val="both"/>
        <w:rPr>
          <w:rFonts w:ascii="Book Antiqua" w:hAnsi="Book Antiqua"/>
          <w:sz w:val="24"/>
          <w:szCs w:val="24"/>
        </w:rPr>
      </w:pPr>
    </w:p>
    <w:p w:rsidR="00CB36FE" w:rsidRPr="001039FB" w:rsidRDefault="008418A7" w:rsidP="00CB36FE">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E5227D" w:rsidRPr="001039FB">
        <w:rPr>
          <w:rFonts w:ascii="Book Antiqua" w:hAnsi="Book Antiqua"/>
          <w:b/>
          <w:bCs/>
          <w:color w:val="4F81BD" w:themeColor="accent1"/>
          <w:sz w:val="24"/>
          <w:szCs w:val="24"/>
        </w:rPr>
        <w:t>3</w:t>
      </w:r>
      <w:r w:rsidRPr="001039FB">
        <w:rPr>
          <w:rFonts w:ascii="Book Antiqua" w:hAnsi="Book Antiqua"/>
          <w:b/>
          <w:bCs/>
          <w:color w:val="4F81BD" w:themeColor="accent1"/>
          <w:sz w:val="24"/>
          <w:szCs w:val="24"/>
        </w:rPr>
        <w:t xml:space="preserve"> :</w:t>
      </w:r>
      <w:r w:rsidRPr="001039FB">
        <w:rPr>
          <w:rFonts w:ascii="Book Antiqua" w:hAnsi="Book Antiqua"/>
          <w:sz w:val="24"/>
          <w:szCs w:val="24"/>
        </w:rPr>
        <w:t xml:space="preserve"> Le Directeur de thèse oriente et assure le suivi des travaux de thèse tout en veillant à la progression et à la valorisation du travail du doctorant. </w:t>
      </w:r>
      <w:r w:rsidR="00CB36FE" w:rsidRPr="001039FB">
        <w:rPr>
          <w:rFonts w:ascii="Book Antiqua" w:hAnsi="Book Antiqua"/>
          <w:sz w:val="24"/>
          <w:szCs w:val="24"/>
        </w:rPr>
        <w:t>En cas de décès, de départ à la retraite, de mutation à une autre université ou de désistement, le conseil d</w:t>
      </w:r>
      <w:r w:rsidR="00893309" w:rsidRPr="001039FB">
        <w:rPr>
          <w:rFonts w:ascii="Book Antiqua" w:hAnsi="Book Antiqua"/>
          <w:sz w:val="24"/>
          <w:szCs w:val="24"/>
        </w:rPr>
        <w:t>u</w:t>
      </w:r>
      <w:r w:rsidR="00CB36FE" w:rsidRPr="001039FB">
        <w:rPr>
          <w:rFonts w:ascii="Book Antiqua" w:hAnsi="Book Antiqua"/>
          <w:sz w:val="24"/>
          <w:szCs w:val="24"/>
        </w:rPr>
        <w:t xml:space="preserve"> laboratoire doit proposer un nouveau directeur de thèse au CED de l’université. </w:t>
      </w:r>
    </w:p>
    <w:p w:rsidR="008418A7" w:rsidRPr="001039FB" w:rsidRDefault="008418A7" w:rsidP="008418A7">
      <w:pPr>
        <w:autoSpaceDE w:val="0"/>
        <w:autoSpaceDN w:val="0"/>
        <w:adjustRightInd w:val="0"/>
        <w:spacing w:after="0" w:line="240" w:lineRule="auto"/>
        <w:jc w:val="both"/>
        <w:rPr>
          <w:rFonts w:ascii="Book Antiqua" w:hAnsi="Book Antiqua"/>
          <w:sz w:val="24"/>
          <w:szCs w:val="24"/>
        </w:rPr>
      </w:pPr>
    </w:p>
    <w:p w:rsidR="008418A7" w:rsidRPr="001039FB" w:rsidRDefault="008418A7" w:rsidP="008418A7">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E5227D" w:rsidRPr="001039FB">
        <w:rPr>
          <w:rFonts w:ascii="Book Antiqua" w:hAnsi="Book Antiqua"/>
          <w:b/>
          <w:bCs/>
          <w:color w:val="4F81BD" w:themeColor="accent1"/>
          <w:sz w:val="24"/>
          <w:szCs w:val="24"/>
        </w:rPr>
        <w:t>4</w:t>
      </w:r>
      <w:r w:rsidRPr="001039FB">
        <w:rPr>
          <w:rFonts w:ascii="Book Antiqua" w:hAnsi="Book Antiqua"/>
          <w:b/>
          <w:bCs/>
          <w:color w:val="4F81BD" w:themeColor="accent1"/>
          <w:sz w:val="24"/>
          <w:szCs w:val="24"/>
        </w:rPr>
        <w:t xml:space="preserve"> :</w:t>
      </w:r>
      <w:r w:rsidRPr="001039FB">
        <w:rPr>
          <w:rFonts w:ascii="Book Antiqua" w:hAnsi="Book Antiqua"/>
          <w:sz w:val="24"/>
          <w:szCs w:val="24"/>
        </w:rPr>
        <w:t xml:space="preserve"> Le doctorant est accueilli dans </w:t>
      </w:r>
      <w:r w:rsidR="001E2B71" w:rsidRPr="001039FB">
        <w:rPr>
          <w:rFonts w:ascii="Book Antiqua" w:hAnsi="Book Antiqua"/>
          <w:sz w:val="24"/>
          <w:szCs w:val="24"/>
        </w:rPr>
        <w:t>un laboratoire accrédité</w:t>
      </w:r>
      <w:r w:rsidR="00E5227D" w:rsidRPr="001039FB">
        <w:rPr>
          <w:rFonts w:ascii="Book Antiqua" w:hAnsi="Book Antiqua"/>
          <w:sz w:val="24"/>
          <w:szCs w:val="24"/>
        </w:rPr>
        <w:t xml:space="preserve"> par l’université</w:t>
      </w:r>
      <w:r w:rsidRPr="001039FB">
        <w:rPr>
          <w:rFonts w:ascii="Book Antiqua" w:hAnsi="Book Antiqua"/>
          <w:sz w:val="24"/>
          <w:szCs w:val="24"/>
        </w:rPr>
        <w:t xml:space="preserve">, bénéficie de ses compétences et a accès aux matériels et </w:t>
      </w:r>
      <w:r w:rsidR="00E5227D" w:rsidRPr="001039FB">
        <w:rPr>
          <w:rFonts w:ascii="Book Antiqua" w:hAnsi="Book Antiqua"/>
          <w:sz w:val="24"/>
          <w:szCs w:val="24"/>
        </w:rPr>
        <w:t>plateforme numérique de l’université (Logiciel, bibliothèque virtuelle, coursera, ressources numériques de recherche ……)</w:t>
      </w:r>
      <w:r w:rsidRPr="001039FB">
        <w:rPr>
          <w:rFonts w:ascii="Book Antiqua" w:hAnsi="Book Antiqua"/>
          <w:sz w:val="24"/>
          <w:szCs w:val="24"/>
        </w:rPr>
        <w:t>. Il doit respecter la déontologie scientifique</w:t>
      </w:r>
      <w:r w:rsidR="00CB36FE" w:rsidRPr="001039FB">
        <w:rPr>
          <w:rFonts w:ascii="Book Antiqua" w:hAnsi="Book Antiqua"/>
          <w:sz w:val="24"/>
          <w:szCs w:val="24"/>
        </w:rPr>
        <w:t>,</w:t>
      </w:r>
      <w:r w:rsidRPr="001039FB">
        <w:rPr>
          <w:rFonts w:ascii="Book Antiqua" w:hAnsi="Book Antiqua"/>
          <w:sz w:val="24"/>
          <w:szCs w:val="24"/>
        </w:rPr>
        <w:t xml:space="preserve"> les règlements intérieurs </w:t>
      </w:r>
      <w:r w:rsidR="001E2B71" w:rsidRPr="001039FB">
        <w:rPr>
          <w:rFonts w:ascii="Book Antiqua" w:hAnsi="Book Antiqua"/>
          <w:sz w:val="24"/>
          <w:szCs w:val="24"/>
        </w:rPr>
        <w:t>en vigueu</w:t>
      </w:r>
      <w:r w:rsidR="00D5743A" w:rsidRPr="001039FB">
        <w:rPr>
          <w:rFonts w:ascii="Book Antiqua" w:hAnsi="Book Antiqua"/>
          <w:sz w:val="24"/>
          <w:szCs w:val="24"/>
        </w:rPr>
        <w:t>r, et la charte de thèse.</w:t>
      </w:r>
    </w:p>
    <w:p w:rsidR="008418A7" w:rsidRPr="001039FB" w:rsidRDefault="008418A7" w:rsidP="008418A7">
      <w:pPr>
        <w:autoSpaceDE w:val="0"/>
        <w:autoSpaceDN w:val="0"/>
        <w:adjustRightInd w:val="0"/>
        <w:spacing w:after="0" w:line="240" w:lineRule="auto"/>
        <w:jc w:val="both"/>
        <w:rPr>
          <w:rFonts w:ascii="Book Antiqua" w:hAnsi="Book Antiqua"/>
          <w:sz w:val="24"/>
          <w:szCs w:val="24"/>
        </w:rPr>
      </w:pPr>
    </w:p>
    <w:p w:rsidR="00DB56A3" w:rsidRPr="001039FB" w:rsidRDefault="002E3251" w:rsidP="002E3251">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1C2EC6" w:rsidRPr="001039FB">
        <w:rPr>
          <w:rFonts w:ascii="Book Antiqua" w:hAnsi="Book Antiqua"/>
          <w:b/>
          <w:bCs/>
          <w:color w:val="4F81BD" w:themeColor="accent1"/>
          <w:sz w:val="24"/>
          <w:szCs w:val="24"/>
        </w:rPr>
        <w:t>5</w:t>
      </w:r>
      <w:r w:rsidRPr="001039FB">
        <w:rPr>
          <w:rFonts w:ascii="Book Antiqua" w:hAnsi="Book Antiqua"/>
          <w:b/>
          <w:bCs/>
          <w:color w:val="4F81BD" w:themeColor="accent1"/>
          <w:sz w:val="24"/>
          <w:szCs w:val="24"/>
        </w:rPr>
        <w:t xml:space="preserve"> : </w:t>
      </w:r>
      <w:r w:rsidRPr="001039FB">
        <w:rPr>
          <w:rFonts w:ascii="Book Antiqua" w:hAnsi="Book Antiqua"/>
          <w:sz w:val="24"/>
          <w:szCs w:val="24"/>
        </w:rPr>
        <w:t>La préparation d’une thèse en cotutelle avec des universités étrangères</w:t>
      </w:r>
      <w:r w:rsidR="002D5F5B" w:rsidRPr="001039FB">
        <w:rPr>
          <w:rFonts w:ascii="Book Antiqua" w:hAnsi="Book Antiqua"/>
          <w:sz w:val="24"/>
          <w:szCs w:val="24"/>
        </w:rPr>
        <w:t xml:space="preserve"> doit faire</w:t>
      </w:r>
      <w:r w:rsidR="001C2EC6" w:rsidRPr="001039FB">
        <w:rPr>
          <w:rFonts w:ascii="Book Antiqua" w:hAnsi="Book Antiqua"/>
          <w:sz w:val="24"/>
          <w:szCs w:val="24"/>
        </w:rPr>
        <w:t xml:space="preserve"> objet d’une </w:t>
      </w:r>
      <w:r w:rsidR="00DB56A3" w:rsidRPr="001039FB">
        <w:rPr>
          <w:rFonts w:ascii="Book Antiqua" w:hAnsi="Book Antiqua"/>
          <w:sz w:val="24"/>
          <w:szCs w:val="24"/>
        </w:rPr>
        <w:t>convention spécifique entre les deux universités dont laquelle sont fixé</w:t>
      </w:r>
      <w:r w:rsidR="00D1265E" w:rsidRPr="001039FB">
        <w:rPr>
          <w:rFonts w:ascii="Book Antiqua" w:hAnsi="Book Antiqua"/>
          <w:sz w:val="24"/>
          <w:szCs w:val="24"/>
        </w:rPr>
        <w:t>s</w:t>
      </w:r>
      <w:r w:rsidR="00DB56A3" w:rsidRPr="001039FB">
        <w:rPr>
          <w:rFonts w:ascii="Book Antiqua" w:hAnsi="Book Antiqua"/>
          <w:sz w:val="24"/>
          <w:szCs w:val="24"/>
        </w:rPr>
        <w:t xml:space="preserve"> toutes les modalités régissant l’accomplissement des travaux de recherche et les formations transversales.</w:t>
      </w:r>
    </w:p>
    <w:p w:rsidR="002E3251" w:rsidRPr="001039FB" w:rsidRDefault="002E3251" w:rsidP="002E3251">
      <w:pPr>
        <w:autoSpaceDE w:val="0"/>
        <w:autoSpaceDN w:val="0"/>
        <w:adjustRightInd w:val="0"/>
        <w:spacing w:after="0" w:line="240" w:lineRule="auto"/>
        <w:jc w:val="both"/>
        <w:rPr>
          <w:rFonts w:ascii="Book Antiqua" w:hAnsi="Book Antiqua"/>
          <w:sz w:val="24"/>
          <w:szCs w:val="24"/>
        </w:rPr>
      </w:pPr>
    </w:p>
    <w:p w:rsidR="002E3251" w:rsidRPr="001039FB" w:rsidRDefault="002E3251" w:rsidP="002E3251">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D1265E" w:rsidRPr="001039FB">
        <w:rPr>
          <w:rFonts w:ascii="Book Antiqua" w:hAnsi="Book Antiqua"/>
          <w:b/>
          <w:bCs/>
          <w:color w:val="4F81BD" w:themeColor="accent1"/>
          <w:sz w:val="24"/>
          <w:szCs w:val="24"/>
        </w:rPr>
        <w:t>6</w:t>
      </w:r>
      <w:r w:rsidRPr="001039FB">
        <w:rPr>
          <w:rFonts w:ascii="Book Antiqua" w:hAnsi="Book Antiqua"/>
          <w:b/>
          <w:bCs/>
          <w:color w:val="4F81BD" w:themeColor="accent1"/>
          <w:sz w:val="24"/>
          <w:szCs w:val="24"/>
        </w:rPr>
        <w:t xml:space="preserve"> :</w:t>
      </w:r>
      <w:r w:rsidRPr="001039FB">
        <w:rPr>
          <w:rFonts w:ascii="Book Antiqua" w:hAnsi="Book Antiqua"/>
          <w:sz w:val="24"/>
          <w:szCs w:val="24"/>
        </w:rPr>
        <w:t>Le doctorant est tenu de présenter les rapports d’étapes et les résultats de ses travaux suivant un planning préétabli qui tient compte de la nature du sujet (temps et rythme du travail) et du règlement intérieur d</w:t>
      </w:r>
      <w:r w:rsidR="00E852B1" w:rsidRPr="001039FB">
        <w:rPr>
          <w:rFonts w:ascii="Book Antiqua" w:hAnsi="Book Antiqua"/>
          <w:sz w:val="24"/>
          <w:szCs w:val="24"/>
        </w:rPr>
        <w:t xml:space="preserve">u laboratoire de recherche d’accueil. </w:t>
      </w:r>
    </w:p>
    <w:p w:rsidR="002E3251" w:rsidRPr="001039FB" w:rsidRDefault="002E3251" w:rsidP="002E3251">
      <w:pPr>
        <w:autoSpaceDE w:val="0"/>
        <w:autoSpaceDN w:val="0"/>
        <w:adjustRightInd w:val="0"/>
        <w:spacing w:after="0" w:line="240" w:lineRule="auto"/>
        <w:jc w:val="both"/>
        <w:rPr>
          <w:rFonts w:ascii="Book Antiqua" w:hAnsi="Book Antiqua"/>
          <w:sz w:val="24"/>
          <w:szCs w:val="24"/>
        </w:rPr>
      </w:pPr>
    </w:p>
    <w:p w:rsidR="00E852B1" w:rsidRPr="001039FB" w:rsidRDefault="002E3251" w:rsidP="002E3251">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 1</w:t>
      </w:r>
      <w:r w:rsidR="00D1265E" w:rsidRPr="001039FB">
        <w:rPr>
          <w:rFonts w:ascii="Book Antiqua" w:hAnsi="Book Antiqua"/>
          <w:b/>
          <w:bCs/>
          <w:color w:val="4F81BD" w:themeColor="accent1"/>
          <w:sz w:val="24"/>
          <w:szCs w:val="24"/>
        </w:rPr>
        <w:t>7</w:t>
      </w:r>
      <w:r w:rsidRPr="001039FB">
        <w:rPr>
          <w:rFonts w:ascii="Book Antiqua" w:hAnsi="Book Antiqua"/>
          <w:b/>
          <w:bCs/>
          <w:color w:val="4F81BD" w:themeColor="accent1"/>
          <w:sz w:val="24"/>
          <w:szCs w:val="24"/>
        </w:rPr>
        <w:t xml:space="preserve"> :</w:t>
      </w:r>
      <w:r w:rsidRPr="001039FB">
        <w:rPr>
          <w:rFonts w:ascii="Book Antiqua" w:hAnsi="Book Antiqua"/>
          <w:sz w:val="24"/>
          <w:szCs w:val="24"/>
        </w:rPr>
        <w:t xml:space="preserve">Dans le cas d’une réorientation des travaux de recherche ou d’un changement de sujet de thèse, le Directeur de thèse informe le doctorant quant aux conséquences notamment en termes des délais en vigueur pour la préparation de la thèse. Dans ce cas, une demande accompagnée d’un avis motivé du Directeur de la Thèse doit être </w:t>
      </w:r>
      <w:r w:rsidR="00E852B1" w:rsidRPr="001039FB">
        <w:rPr>
          <w:rFonts w:ascii="Book Antiqua" w:hAnsi="Book Antiqua"/>
          <w:sz w:val="24"/>
          <w:szCs w:val="24"/>
        </w:rPr>
        <w:t xml:space="preserve">communiqué au collège de </w:t>
      </w:r>
      <w:r w:rsidR="003875B7" w:rsidRPr="001039FB">
        <w:rPr>
          <w:rFonts w:ascii="Book Antiqua" w:hAnsi="Book Antiqua"/>
          <w:sz w:val="24"/>
          <w:szCs w:val="24"/>
        </w:rPr>
        <w:t xml:space="preserve">la </w:t>
      </w:r>
      <w:r w:rsidR="00E852B1" w:rsidRPr="001039FB">
        <w:rPr>
          <w:rFonts w:ascii="Book Antiqua" w:hAnsi="Book Antiqua"/>
          <w:sz w:val="24"/>
          <w:szCs w:val="24"/>
        </w:rPr>
        <w:t>formation doctoral. Aucun changement de sujet n’est autorisé au-delà de la troisième inscription.</w:t>
      </w:r>
    </w:p>
    <w:p w:rsidR="00E77CEB" w:rsidRPr="001039FB" w:rsidRDefault="00E77CEB" w:rsidP="00DD645E">
      <w:pPr>
        <w:autoSpaceDE w:val="0"/>
        <w:autoSpaceDN w:val="0"/>
        <w:adjustRightInd w:val="0"/>
        <w:spacing w:after="0" w:line="240" w:lineRule="auto"/>
        <w:jc w:val="both"/>
        <w:rPr>
          <w:rFonts w:ascii="Book Antiqua" w:hAnsi="Book Antiqua" w:cstheme="majorBidi"/>
          <w:b/>
          <w:bCs/>
          <w:color w:val="000099"/>
          <w:sz w:val="24"/>
          <w:szCs w:val="24"/>
        </w:rPr>
      </w:pPr>
    </w:p>
    <w:p w:rsidR="0054155A" w:rsidRPr="001039FB" w:rsidRDefault="00E852B1" w:rsidP="0054155A">
      <w:pPr>
        <w:autoSpaceDE w:val="0"/>
        <w:autoSpaceDN w:val="0"/>
        <w:adjustRightInd w:val="0"/>
        <w:spacing w:after="0" w:line="240" w:lineRule="auto"/>
        <w:jc w:val="center"/>
        <w:rPr>
          <w:rFonts w:ascii="Book Antiqua" w:hAnsi="Book Antiqua"/>
          <w:b/>
          <w:bCs/>
          <w:color w:val="4F81BD" w:themeColor="accent1"/>
          <w:sz w:val="36"/>
          <w:szCs w:val="36"/>
        </w:rPr>
      </w:pPr>
      <w:r w:rsidRPr="001039FB">
        <w:rPr>
          <w:rFonts w:ascii="Book Antiqua" w:hAnsi="Book Antiqua"/>
          <w:b/>
          <w:bCs/>
          <w:color w:val="4F81BD" w:themeColor="accent1"/>
          <w:sz w:val="36"/>
          <w:szCs w:val="36"/>
        </w:rPr>
        <w:t xml:space="preserve">Chapitre n°3 : </w:t>
      </w:r>
      <w:r w:rsidR="0054155A" w:rsidRPr="001039FB">
        <w:rPr>
          <w:rFonts w:ascii="Book Antiqua" w:hAnsi="Book Antiqua"/>
          <w:b/>
          <w:bCs/>
          <w:color w:val="4F81BD" w:themeColor="accent1"/>
          <w:sz w:val="36"/>
          <w:szCs w:val="36"/>
        </w:rPr>
        <w:t xml:space="preserve">Conditions de </w:t>
      </w:r>
      <w:r w:rsidR="00477EBA" w:rsidRPr="001039FB">
        <w:rPr>
          <w:rFonts w:ascii="Book Antiqua" w:hAnsi="Book Antiqua"/>
          <w:b/>
          <w:bCs/>
          <w:color w:val="4F81BD" w:themeColor="accent1"/>
          <w:sz w:val="36"/>
          <w:szCs w:val="36"/>
        </w:rPr>
        <w:t>S</w:t>
      </w:r>
      <w:r w:rsidR="0054155A" w:rsidRPr="001039FB">
        <w:rPr>
          <w:rFonts w:ascii="Book Antiqua" w:hAnsi="Book Antiqua"/>
          <w:b/>
          <w:bCs/>
          <w:color w:val="4F81BD" w:themeColor="accent1"/>
          <w:sz w:val="36"/>
          <w:szCs w:val="36"/>
        </w:rPr>
        <w:t>outenance</w:t>
      </w:r>
    </w:p>
    <w:p w:rsidR="0054155A" w:rsidRPr="001039FB" w:rsidRDefault="0054155A" w:rsidP="00903FAE">
      <w:pPr>
        <w:autoSpaceDE w:val="0"/>
        <w:autoSpaceDN w:val="0"/>
        <w:adjustRightInd w:val="0"/>
        <w:spacing w:after="0" w:line="240" w:lineRule="auto"/>
        <w:jc w:val="both"/>
        <w:rPr>
          <w:rFonts w:ascii="Book Antiqua" w:hAnsi="Book Antiqua"/>
          <w:sz w:val="24"/>
          <w:szCs w:val="24"/>
        </w:rPr>
      </w:pPr>
    </w:p>
    <w:p w:rsidR="000F0F25" w:rsidRPr="001039FB" w:rsidRDefault="0054155A" w:rsidP="001F1FAE">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 xml:space="preserve">Article </w:t>
      </w:r>
      <w:r w:rsidR="00494017" w:rsidRPr="001039FB">
        <w:rPr>
          <w:rFonts w:ascii="Book Antiqua" w:hAnsi="Book Antiqua"/>
          <w:b/>
          <w:bCs/>
          <w:color w:val="4F81BD" w:themeColor="accent1"/>
          <w:sz w:val="24"/>
          <w:szCs w:val="24"/>
        </w:rPr>
        <w:t>1</w:t>
      </w:r>
      <w:r w:rsidR="003875B7" w:rsidRPr="001039FB">
        <w:rPr>
          <w:rFonts w:ascii="Book Antiqua" w:hAnsi="Book Antiqua"/>
          <w:b/>
          <w:bCs/>
          <w:color w:val="4F81BD" w:themeColor="accent1"/>
          <w:sz w:val="24"/>
          <w:szCs w:val="24"/>
        </w:rPr>
        <w:t xml:space="preserve">8 </w:t>
      </w:r>
      <w:r w:rsidRPr="001039FB">
        <w:rPr>
          <w:rFonts w:ascii="Book Antiqua" w:hAnsi="Book Antiqua"/>
          <w:b/>
          <w:bCs/>
          <w:color w:val="4F81BD" w:themeColor="accent1"/>
          <w:sz w:val="24"/>
          <w:szCs w:val="24"/>
        </w:rPr>
        <w:t>:</w:t>
      </w:r>
      <w:r w:rsidRPr="001039FB">
        <w:rPr>
          <w:rFonts w:ascii="Book Antiqua" w:hAnsi="Book Antiqua"/>
          <w:sz w:val="24"/>
          <w:szCs w:val="24"/>
        </w:rPr>
        <w:t>Les modalités de soutenance et de délivrance du diplôme de Doctorat sont régies par les normes D7, D8, D9 et D10 du</w:t>
      </w:r>
      <w:r w:rsidR="009740ED" w:rsidRPr="001039FB">
        <w:rPr>
          <w:rFonts w:ascii="Book Antiqua" w:hAnsi="Book Antiqua"/>
          <w:sz w:val="24"/>
          <w:szCs w:val="24"/>
        </w:rPr>
        <w:t xml:space="preserve"> Cahier des Normes Pédagogiques Nationales du Cycle de Doctorat (CNPN du Cycle de Doctorat)</w:t>
      </w:r>
      <w:r w:rsidRPr="001039FB">
        <w:rPr>
          <w:rFonts w:ascii="Book Antiqua" w:hAnsi="Book Antiqua"/>
          <w:sz w:val="24"/>
          <w:szCs w:val="24"/>
        </w:rPr>
        <w:t xml:space="preserve">. </w:t>
      </w:r>
    </w:p>
    <w:p w:rsidR="0054155A" w:rsidRPr="001039FB" w:rsidRDefault="0054155A" w:rsidP="00903FAE">
      <w:pPr>
        <w:autoSpaceDE w:val="0"/>
        <w:autoSpaceDN w:val="0"/>
        <w:adjustRightInd w:val="0"/>
        <w:spacing w:after="0" w:line="240" w:lineRule="auto"/>
        <w:jc w:val="both"/>
        <w:rPr>
          <w:rFonts w:ascii="Book Antiqua" w:hAnsi="Book Antiqua"/>
          <w:sz w:val="24"/>
          <w:szCs w:val="24"/>
        </w:rPr>
      </w:pPr>
    </w:p>
    <w:p w:rsidR="0054155A" w:rsidRPr="001039FB" w:rsidRDefault="0054155A" w:rsidP="00923A91">
      <w:pPr>
        <w:pStyle w:val="Paragraphedeliste"/>
        <w:numPr>
          <w:ilvl w:val="0"/>
          <w:numId w:val="24"/>
        </w:numPr>
        <w:autoSpaceDE w:val="0"/>
        <w:autoSpaceDN w:val="0"/>
        <w:adjustRightInd w:val="0"/>
        <w:spacing w:after="0" w:line="240" w:lineRule="auto"/>
        <w:jc w:val="both"/>
        <w:rPr>
          <w:rFonts w:ascii="Book Antiqua" w:hAnsi="Book Antiqua"/>
          <w:b/>
          <w:bCs/>
          <w:i/>
          <w:iCs/>
          <w:sz w:val="24"/>
          <w:szCs w:val="24"/>
        </w:rPr>
      </w:pPr>
      <w:r w:rsidRPr="001039FB">
        <w:rPr>
          <w:rFonts w:ascii="Book Antiqua" w:hAnsi="Book Antiqua"/>
          <w:b/>
          <w:bCs/>
          <w:i/>
          <w:iCs/>
          <w:sz w:val="24"/>
          <w:szCs w:val="24"/>
        </w:rPr>
        <w:t>Publication et valorisation de la thèse :</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La qualité et l’impact d’une thèse se mesure à travers les publications, les brevets, la création de startups et les rapports industriels tirés. Le directeur de thèse doit s’efforcer de faciliter la parution et valider les travaux du doctorant.</w:t>
      </w:r>
    </w:p>
    <w:p w:rsidR="0054155A" w:rsidRPr="001039FB" w:rsidRDefault="0054155A" w:rsidP="00D676E4">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lastRenderedPageBreak/>
        <w:t xml:space="preserve">L’acceptation de soutenance s’appuie sur la production scientifique du doctorant </w:t>
      </w:r>
      <w:r w:rsidR="00D676E4" w:rsidRPr="001039FB">
        <w:rPr>
          <w:rFonts w:ascii="Book Antiqua" w:hAnsi="Book Antiqua"/>
          <w:sz w:val="24"/>
          <w:szCs w:val="24"/>
        </w:rPr>
        <w:t>en relation avec le sujet de thèse</w:t>
      </w:r>
      <w:r w:rsidRPr="001039FB">
        <w:rPr>
          <w:rFonts w:ascii="Book Antiqua" w:hAnsi="Book Antiqua"/>
          <w:sz w:val="24"/>
          <w:szCs w:val="24"/>
        </w:rPr>
        <w:t xml:space="preserve"> selon le domaine</w:t>
      </w:r>
      <w:r w:rsidR="007941E1" w:rsidRPr="001039FB">
        <w:rPr>
          <w:rFonts w:ascii="Book Antiqua" w:hAnsi="Book Antiqua"/>
          <w:sz w:val="24"/>
          <w:szCs w:val="24"/>
        </w:rPr>
        <w:t xml:space="preserve"> et que la publication soit </w:t>
      </w:r>
      <w:r w:rsidR="005044F2" w:rsidRPr="001039FB">
        <w:rPr>
          <w:rFonts w:ascii="Book Antiqua" w:hAnsi="Book Antiqua"/>
          <w:sz w:val="24"/>
          <w:szCs w:val="24"/>
        </w:rPr>
        <w:t>comptabilisée</w:t>
      </w:r>
      <w:r w:rsidR="007941E1" w:rsidRPr="001039FB">
        <w:rPr>
          <w:rFonts w:ascii="Book Antiqua" w:hAnsi="Book Antiqua"/>
          <w:sz w:val="24"/>
          <w:szCs w:val="24"/>
        </w:rPr>
        <w:t xml:space="preserve"> pour un seul candidat. </w:t>
      </w:r>
    </w:p>
    <w:p w:rsidR="001F1FAE" w:rsidRPr="001039FB" w:rsidRDefault="001F1FAE" w:rsidP="005044F2">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b/>
          <w:bCs/>
          <w:color w:val="FF0000"/>
          <w:sz w:val="28"/>
          <w:szCs w:val="28"/>
        </w:rPr>
      </w:pPr>
      <w:r w:rsidRPr="001039FB">
        <w:rPr>
          <w:rFonts w:ascii="Book Antiqua" w:hAnsi="Book Antiqua"/>
          <w:sz w:val="24"/>
          <w:szCs w:val="24"/>
        </w:rPr>
        <w:t xml:space="preserve">1-        Pour les domaines « </w:t>
      </w:r>
      <w:r w:rsidRPr="001039FB">
        <w:rPr>
          <w:rFonts w:ascii="Book Antiqua" w:hAnsi="Book Antiqua"/>
          <w:b/>
          <w:bCs/>
          <w:sz w:val="24"/>
          <w:szCs w:val="24"/>
        </w:rPr>
        <w:t>Sciences, Technologies et Ingénierie » et « Sciences de la Santé</w:t>
      </w:r>
      <w:r w:rsidRPr="001039FB">
        <w:rPr>
          <w:rFonts w:ascii="Book Antiqua" w:hAnsi="Book Antiqua"/>
          <w:sz w:val="24"/>
          <w:szCs w:val="24"/>
        </w:rPr>
        <w:t xml:space="preserve"> » : au moins </w:t>
      </w:r>
      <w:r w:rsidRPr="001039FB">
        <w:rPr>
          <w:rFonts w:ascii="Book Antiqua" w:hAnsi="Book Antiqua"/>
          <w:b/>
          <w:bCs/>
          <w:sz w:val="28"/>
          <w:szCs w:val="28"/>
        </w:rPr>
        <w:t xml:space="preserve">deux articles dans des revues indexées </w:t>
      </w:r>
      <w:r w:rsidR="00AF65D2" w:rsidRPr="001039FB">
        <w:rPr>
          <w:rFonts w:ascii="Book Antiqua" w:hAnsi="Book Antiqua"/>
          <w:b/>
          <w:bCs/>
          <w:sz w:val="28"/>
          <w:szCs w:val="28"/>
        </w:rPr>
        <w:t xml:space="preserve">dont au moins un en Web of Science ou </w:t>
      </w:r>
      <w:r w:rsidRPr="001039FB">
        <w:rPr>
          <w:rFonts w:ascii="Book Antiqua" w:hAnsi="Book Antiqua"/>
          <w:b/>
          <w:bCs/>
          <w:sz w:val="28"/>
          <w:szCs w:val="28"/>
        </w:rPr>
        <w:t>Scopus</w:t>
      </w:r>
      <w:r w:rsidR="00ED5B47" w:rsidRPr="001039FB">
        <w:rPr>
          <w:rFonts w:ascii="Book Antiqua" w:hAnsi="Book Antiqua"/>
          <w:b/>
          <w:bCs/>
          <w:sz w:val="28"/>
          <w:szCs w:val="28"/>
        </w:rPr>
        <w:t>.</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b/>
          <w:bCs/>
          <w:sz w:val="28"/>
          <w:szCs w:val="28"/>
        </w:rPr>
      </w:pPr>
      <w:r w:rsidRPr="001039FB">
        <w:rPr>
          <w:rFonts w:ascii="Book Antiqua" w:hAnsi="Book Antiqua"/>
          <w:sz w:val="24"/>
          <w:szCs w:val="24"/>
        </w:rPr>
        <w:t xml:space="preserve">2-        Pour les domaines « </w:t>
      </w:r>
      <w:r w:rsidRPr="001039FB">
        <w:rPr>
          <w:rFonts w:ascii="Book Antiqua" w:hAnsi="Book Antiqua"/>
          <w:b/>
          <w:bCs/>
          <w:sz w:val="24"/>
          <w:szCs w:val="24"/>
        </w:rPr>
        <w:t>Sciences Humaines et sociales, Sciences de l’Education et des Langues</w:t>
      </w:r>
      <w:r w:rsidRPr="001039FB">
        <w:rPr>
          <w:rFonts w:ascii="Book Antiqua" w:hAnsi="Book Antiqua"/>
          <w:sz w:val="24"/>
          <w:szCs w:val="24"/>
        </w:rPr>
        <w:t xml:space="preserve"> » ; « </w:t>
      </w:r>
      <w:r w:rsidRPr="001039FB">
        <w:rPr>
          <w:rFonts w:ascii="Book Antiqua" w:hAnsi="Book Antiqua"/>
          <w:b/>
          <w:bCs/>
          <w:sz w:val="24"/>
          <w:szCs w:val="24"/>
        </w:rPr>
        <w:t>Droit et Sciences Politiques</w:t>
      </w:r>
      <w:r w:rsidRPr="001039FB">
        <w:rPr>
          <w:rFonts w:ascii="Book Antiqua" w:hAnsi="Book Antiqua"/>
          <w:sz w:val="24"/>
          <w:szCs w:val="24"/>
        </w:rPr>
        <w:t xml:space="preserve"> » et « </w:t>
      </w:r>
      <w:r w:rsidRPr="001039FB">
        <w:rPr>
          <w:rFonts w:ascii="Book Antiqua" w:hAnsi="Book Antiqua"/>
          <w:b/>
          <w:bCs/>
          <w:sz w:val="24"/>
          <w:szCs w:val="24"/>
        </w:rPr>
        <w:t>Economie et Gestion</w:t>
      </w:r>
      <w:r w:rsidRPr="001039FB">
        <w:rPr>
          <w:rFonts w:ascii="Book Antiqua" w:hAnsi="Book Antiqua"/>
          <w:sz w:val="24"/>
          <w:szCs w:val="24"/>
        </w:rPr>
        <w:t xml:space="preserve"> » </w:t>
      </w:r>
      <w:r w:rsidRPr="001039FB">
        <w:rPr>
          <w:rFonts w:ascii="Book Antiqua" w:hAnsi="Book Antiqua"/>
          <w:sz w:val="28"/>
          <w:szCs w:val="28"/>
        </w:rPr>
        <w:t xml:space="preserve">: </w:t>
      </w:r>
      <w:r w:rsidRPr="001039FB">
        <w:rPr>
          <w:rFonts w:ascii="Book Antiqua" w:hAnsi="Book Antiqua"/>
          <w:b/>
          <w:bCs/>
          <w:sz w:val="28"/>
          <w:szCs w:val="28"/>
        </w:rPr>
        <w:t>au moins deux articles dans des revues indexées</w:t>
      </w:r>
      <w:r w:rsidR="00BC7221" w:rsidRPr="001039FB">
        <w:rPr>
          <w:rFonts w:ascii="Book Antiqua" w:hAnsi="Book Antiqua"/>
          <w:b/>
          <w:bCs/>
          <w:sz w:val="28"/>
          <w:szCs w:val="28"/>
        </w:rPr>
        <w:t xml:space="preserve"> (</w:t>
      </w:r>
      <w:r w:rsidRPr="001039FB">
        <w:rPr>
          <w:rFonts w:ascii="Book Antiqua" w:hAnsi="Book Antiqua"/>
          <w:b/>
          <w:bCs/>
          <w:sz w:val="28"/>
          <w:szCs w:val="28"/>
        </w:rPr>
        <w:t>ou bien un</w:t>
      </w:r>
      <w:r w:rsidR="00BC7221" w:rsidRPr="001039FB">
        <w:rPr>
          <w:rFonts w:ascii="Book Antiqua" w:hAnsi="Book Antiqua"/>
          <w:b/>
          <w:bCs/>
          <w:sz w:val="28"/>
          <w:szCs w:val="28"/>
        </w:rPr>
        <w:t xml:space="preserve"> seul</w:t>
      </w:r>
      <w:r w:rsidRPr="001039FB">
        <w:rPr>
          <w:rFonts w:ascii="Book Antiqua" w:hAnsi="Book Antiqua"/>
          <w:b/>
          <w:bCs/>
          <w:sz w:val="28"/>
          <w:szCs w:val="28"/>
        </w:rPr>
        <w:t xml:space="preserve"> article dans une revue indexée Scopus</w:t>
      </w:r>
      <w:r w:rsidR="00BC7221" w:rsidRPr="001039FB">
        <w:rPr>
          <w:rFonts w:ascii="Book Antiqua" w:hAnsi="Book Antiqua"/>
          <w:b/>
          <w:bCs/>
          <w:sz w:val="28"/>
          <w:szCs w:val="28"/>
        </w:rPr>
        <w:t>)</w:t>
      </w:r>
      <w:r w:rsidRPr="001039FB">
        <w:rPr>
          <w:rFonts w:ascii="Book Antiqua" w:hAnsi="Book Antiqua"/>
          <w:b/>
          <w:bCs/>
          <w:sz w:val="28"/>
          <w:szCs w:val="28"/>
        </w:rPr>
        <w:t>.</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Pour être comptabilisée, la production susmentionnée doit obligatoirement mentionner l’appartenance du doctorant à l’Université Hassan II de Casablanca, conformément aux trois types</w:t>
      </w:r>
      <w:r w:rsidR="00E37199">
        <w:rPr>
          <w:rFonts w:ascii="Book Antiqua" w:hAnsi="Book Antiqua"/>
          <w:sz w:val="24"/>
          <w:szCs w:val="24"/>
        </w:rPr>
        <w:t xml:space="preserve"> </w:t>
      </w:r>
      <w:r w:rsidRPr="001039FB">
        <w:rPr>
          <w:rFonts w:ascii="Book Antiqua" w:hAnsi="Book Antiqua"/>
          <w:sz w:val="24"/>
          <w:szCs w:val="24"/>
        </w:rPr>
        <w:t>d’affiliation suivants :</w:t>
      </w:r>
      <w:r w:rsidR="001F1FAE" w:rsidRPr="001039FB">
        <w:rPr>
          <w:rFonts w:ascii="Book Antiqua" w:hAnsi="Book Antiqua"/>
          <w:sz w:val="24"/>
          <w:szCs w:val="24"/>
        </w:rPr>
        <w:t>"</w:t>
      </w:r>
      <w:r w:rsidRPr="001039FB">
        <w:rPr>
          <w:rFonts w:ascii="Book Antiqua" w:hAnsi="Book Antiqua"/>
          <w:sz w:val="24"/>
          <w:szCs w:val="24"/>
          <w:rtl/>
        </w:rPr>
        <w:t>جامعة الحسن الثاني بالدار البيضاء</w:t>
      </w:r>
      <w:r w:rsidR="001F1FAE" w:rsidRPr="001039FB">
        <w:rPr>
          <w:rFonts w:ascii="Book Antiqua" w:hAnsi="Book Antiqua"/>
          <w:sz w:val="24"/>
          <w:szCs w:val="24"/>
        </w:rPr>
        <w:t>"</w:t>
      </w:r>
      <w:r w:rsidR="00923A91" w:rsidRPr="001039FB">
        <w:rPr>
          <w:rFonts w:ascii="Book Antiqua" w:hAnsi="Book Antiqua"/>
          <w:sz w:val="24"/>
          <w:szCs w:val="24"/>
          <w:rtl/>
        </w:rPr>
        <w:t xml:space="preserve">، </w:t>
      </w:r>
      <w:r w:rsidR="00923A91" w:rsidRPr="001039FB">
        <w:rPr>
          <w:rFonts w:ascii="Book Antiqua" w:hAnsi="Book Antiqua"/>
          <w:sz w:val="24"/>
          <w:szCs w:val="24"/>
        </w:rPr>
        <w:t>«</w:t>
      </w:r>
      <w:r w:rsidR="001F1FAE" w:rsidRPr="001039FB">
        <w:rPr>
          <w:rFonts w:ascii="Book Antiqua" w:hAnsi="Book Antiqua"/>
          <w:sz w:val="24"/>
          <w:szCs w:val="24"/>
        </w:rPr>
        <w:t> </w:t>
      </w:r>
      <w:r w:rsidRPr="001039FB">
        <w:rPr>
          <w:rFonts w:ascii="Book Antiqua" w:hAnsi="Book Antiqua"/>
          <w:sz w:val="24"/>
          <w:szCs w:val="24"/>
        </w:rPr>
        <w:t>Université Hassan II de Casablanca</w:t>
      </w:r>
      <w:r w:rsidR="001F1FAE" w:rsidRPr="001039FB">
        <w:rPr>
          <w:rFonts w:ascii="Book Antiqua" w:hAnsi="Book Antiqua"/>
          <w:sz w:val="24"/>
          <w:szCs w:val="24"/>
        </w:rPr>
        <w:t> »</w:t>
      </w:r>
      <w:r w:rsidRPr="001039FB">
        <w:rPr>
          <w:rFonts w:ascii="Book Antiqua" w:hAnsi="Book Antiqua"/>
          <w:sz w:val="24"/>
          <w:szCs w:val="24"/>
        </w:rPr>
        <w:t xml:space="preserve"> ou </w:t>
      </w:r>
      <w:r w:rsidR="001F1FAE" w:rsidRPr="001039FB">
        <w:rPr>
          <w:rFonts w:ascii="Book Antiqua" w:hAnsi="Book Antiqua"/>
          <w:sz w:val="24"/>
          <w:szCs w:val="24"/>
        </w:rPr>
        <w:t>« </w:t>
      </w:r>
      <w:r w:rsidRPr="001039FB">
        <w:rPr>
          <w:rFonts w:ascii="Book Antiqua" w:hAnsi="Book Antiqua"/>
          <w:sz w:val="24"/>
          <w:szCs w:val="24"/>
        </w:rPr>
        <w:t>Hassan II University of Casablanca</w:t>
      </w:r>
      <w:r w:rsidR="001F1FAE" w:rsidRPr="001039FB">
        <w:rPr>
          <w:rFonts w:ascii="Book Antiqua" w:hAnsi="Book Antiqua"/>
          <w:sz w:val="24"/>
          <w:szCs w:val="24"/>
        </w:rPr>
        <w:t> »</w:t>
      </w:r>
      <w:r w:rsidRPr="001039FB">
        <w:rPr>
          <w:rFonts w:ascii="Book Antiqua" w:hAnsi="Book Antiqua"/>
          <w:sz w:val="24"/>
          <w:szCs w:val="24"/>
        </w:rPr>
        <w:t xml:space="preserve"> et d’autre part, cette production doit s’inscrire dans le cadre du sujet de thèse et pendant la durée de thèse.</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Le dépôt d’un brevet d’invention auprès de l’Office Marocain de la Propriété In</w:t>
      </w:r>
      <w:r w:rsidR="0093101B" w:rsidRPr="001039FB">
        <w:rPr>
          <w:rFonts w:ascii="Book Antiqua" w:hAnsi="Book Antiqua"/>
          <w:sz w:val="24"/>
          <w:szCs w:val="24"/>
        </w:rPr>
        <w:t xml:space="preserve">dustrielle </w:t>
      </w:r>
      <w:r w:rsidRPr="001039FB">
        <w:rPr>
          <w:rFonts w:ascii="Book Antiqua" w:hAnsi="Book Antiqua"/>
          <w:sz w:val="24"/>
          <w:szCs w:val="24"/>
        </w:rPr>
        <w:t xml:space="preserve">et Commerciale (OMPIC) équivaut à la publication d’un article à condition </w:t>
      </w:r>
      <w:r w:rsidR="00990BDF" w:rsidRPr="001039FB">
        <w:rPr>
          <w:rFonts w:ascii="Book Antiqua" w:hAnsi="Book Antiqua"/>
          <w:sz w:val="24"/>
          <w:szCs w:val="24"/>
        </w:rPr>
        <w:t xml:space="preserve">que le </w:t>
      </w:r>
      <w:r w:rsidRPr="001039FB">
        <w:rPr>
          <w:rFonts w:ascii="Book Antiqua" w:hAnsi="Book Antiqua"/>
          <w:sz w:val="24"/>
          <w:szCs w:val="24"/>
        </w:rPr>
        <w:t>:</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990BDF" w:rsidP="001F1FAE">
      <w:pPr>
        <w:pStyle w:val="Paragraphedeliste"/>
        <w:numPr>
          <w:ilvl w:val="0"/>
          <w:numId w:val="22"/>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B</w:t>
      </w:r>
      <w:r w:rsidR="0054155A" w:rsidRPr="001039FB">
        <w:rPr>
          <w:rFonts w:ascii="Book Antiqua" w:hAnsi="Book Antiqua"/>
          <w:sz w:val="24"/>
          <w:szCs w:val="24"/>
        </w:rPr>
        <w:t>revet soit déposé au nom de l’Université ;</w:t>
      </w:r>
    </w:p>
    <w:p w:rsidR="0054155A" w:rsidRPr="001039FB" w:rsidRDefault="00990BDF" w:rsidP="001F1FAE">
      <w:pPr>
        <w:pStyle w:val="Paragraphedeliste"/>
        <w:numPr>
          <w:ilvl w:val="0"/>
          <w:numId w:val="22"/>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N</w:t>
      </w:r>
      <w:r w:rsidR="0054155A" w:rsidRPr="001039FB">
        <w:rPr>
          <w:rFonts w:ascii="Book Antiqua" w:hAnsi="Book Antiqua"/>
          <w:sz w:val="24"/>
          <w:szCs w:val="24"/>
        </w:rPr>
        <w:t>om du doctorant figure parmi les invent</w:t>
      </w:r>
      <w:r w:rsidR="0039348F" w:rsidRPr="001039FB">
        <w:rPr>
          <w:rFonts w:ascii="Book Antiqua" w:hAnsi="Book Antiqua"/>
          <w:sz w:val="24"/>
          <w:szCs w:val="24"/>
        </w:rPr>
        <w:t>eurs</w:t>
      </w:r>
      <w:r w:rsidR="0054155A" w:rsidRPr="001039FB">
        <w:rPr>
          <w:rFonts w:ascii="Book Antiqua" w:hAnsi="Book Antiqua"/>
          <w:sz w:val="24"/>
          <w:szCs w:val="24"/>
        </w:rPr>
        <w:t xml:space="preserve"> ;</w:t>
      </w:r>
    </w:p>
    <w:p w:rsidR="0054155A" w:rsidRPr="001039FB" w:rsidRDefault="00990BDF" w:rsidP="001F1FAE">
      <w:pPr>
        <w:pStyle w:val="Paragraphedeliste"/>
        <w:numPr>
          <w:ilvl w:val="0"/>
          <w:numId w:val="22"/>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B</w:t>
      </w:r>
      <w:r w:rsidR="0054155A" w:rsidRPr="001039FB">
        <w:rPr>
          <w:rFonts w:ascii="Book Antiqua" w:hAnsi="Book Antiqua"/>
          <w:sz w:val="24"/>
          <w:szCs w:val="24"/>
        </w:rPr>
        <w:t>revet s’inscrive dans le cadre du sujet de thèse ;</w:t>
      </w:r>
    </w:p>
    <w:p w:rsidR="0054155A" w:rsidRPr="001039FB" w:rsidRDefault="00990BDF" w:rsidP="001F1FAE">
      <w:pPr>
        <w:pStyle w:val="Paragraphedeliste"/>
        <w:numPr>
          <w:ilvl w:val="0"/>
          <w:numId w:val="22"/>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Br</w:t>
      </w:r>
      <w:r w:rsidR="0054155A" w:rsidRPr="001039FB">
        <w:rPr>
          <w:rFonts w:ascii="Book Antiqua" w:hAnsi="Book Antiqua"/>
          <w:sz w:val="24"/>
          <w:szCs w:val="24"/>
        </w:rPr>
        <w:t>evet soit délivré ou que le rapport préliminaire soit positif et reconnaissant un degré d’inventi</w:t>
      </w:r>
      <w:r w:rsidR="00180789" w:rsidRPr="001039FB">
        <w:rPr>
          <w:rFonts w:ascii="Book Antiqua" w:hAnsi="Book Antiqua"/>
          <w:sz w:val="24"/>
          <w:szCs w:val="24"/>
        </w:rPr>
        <w:t>vité</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Il est à noter que seul un brevet pourra être considéré équivalent à un article scientifique</w:t>
      </w:r>
      <w:r w:rsidR="00055EAD" w:rsidRPr="001039FB">
        <w:rPr>
          <w:rFonts w:ascii="Book Antiqua" w:hAnsi="Book Antiqua"/>
          <w:sz w:val="24"/>
          <w:szCs w:val="24"/>
        </w:rPr>
        <w:t xml:space="preserve"> indexé en relation avec le sujet de thèse.</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0E2E02"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Par ailleurs, après soutenance et admission, l’Université est autorisée à diffuser la thèse en ligne sur la plateforme de l’UH2C et à la mettre à la disposition de l’Institut Marocain de l’Information Scientifique et Technique</w:t>
      </w:r>
      <w:r w:rsidR="000E2E02" w:rsidRPr="001039FB">
        <w:rPr>
          <w:rFonts w:ascii="Book Antiqua" w:hAnsi="Book Antiqua"/>
          <w:sz w:val="24"/>
          <w:szCs w:val="24"/>
        </w:rPr>
        <w:t>. Le directeur de thèse peut demander de limiter de la diffusion de travaux de recherche.</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923A91">
      <w:pPr>
        <w:pStyle w:val="Paragraphedeliste"/>
        <w:numPr>
          <w:ilvl w:val="0"/>
          <w:numId w:val="24"/>
        </w:numPr>
        <w:autoSpaceDE w:val="0"/>
        <w:autoSpaceDN w:val="0"/>
        <w:adjustRightInd w:val="0"/>
        <w:spacing w:after="0" w:line="240" w:lineRule="auto"/>
        <w:jc w:val="both"/>
        <w:rPr>
          <w:rFonts w:ascii="Book Antiqua" w:hAnsi="Book Antiqua"/>
          <w:b/>
          <w:bCs/>
          <w:i/>
          <w:iCs/>
          <w:sz w:val="24"/>
          <w:szCs w:val="24"/>
        </w:rPr>
      </w:pPr>
      <w:r w:rsidRPr="001039FB">
        <w:rPr>
          <w:rFonts w:ascii="Book Antiqua" w:hAnsi="Book Antiqua"/>
          <w:b/>
          <w:bCs/>
          <w:i/>
          <w:iCs/>
          <w:sz w:val="24"/>
          <w:szCs w:val="24"/>
        </w:rPr>
        <w:t>Soutenance de thèse :</w:t>
      </w:r>
    </w:p>
    <w:p w:rsidR="00923A91" w:rsidRPr="001039FB" w:rsidRDefault="00923A91"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Lorsque le directeur de thèse juge que le travail de recherche réalisé est conséquent et peut être défendu devant un jury de soutenance de thèse, le doctorant peut alors déposer un dossier de</w:t>
      </w:r>
      <w:r w:rsidR="00E37199">
        <w:rPr>
          <w:rFonts w:ascii="Book Antiqua" w:hAnsi="Book Antiqua"/>
          <w:sz w:val="24"/>
          <w:szCs w:val="24"/>
        </w:rPr>
        <w:t xml:space="preserve"> </w:t>
      </w:r>
      <w:r w:rsidRPr="001039FB">
        <w:rPr>
          <w:rFonts w:ascii="Book Antiqua" w:hAnsi="Book Antiqua"/>
          <w:sz w:val="24"/>
          <w:szCs w:val="24"/>
        </w:rPr>
        <w:t>soutenance. Les conditions relatives à la production scientifique et aux formations transversales doivent également être vérifiées.</w:t>
      </w:r>
    </w:p>
    <w:p w:rsidR="00923A91" w:rsidRPr="001039FB" w:rsidRDefault="00923A91"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lastRenderedPageBreak/>
        <w:t>L’accord du directeur de thèse se fait sous la forme d’un rapport motivé expliquant l’originalité du travail et donnant son accord à la soutenance.</w:t>
      </w:r>
    </w:p>
    <w:p w:rsidR="00923A91" w:rsidRPr="001039FB" w:rsidRDefault="00923A91" w:rsidP="0054155A">
      <w:pPr>
        <w:autoSpaceDE w:val="0"/>
        <w:autoSpaceDN w:val="0"/>
        <w:adjustRightInd w:val="0"/>
        <w:spacing w:after="0" w:line="240" w:lineRule="auto"/>
        <w:jc w:val="both"/>
        <w:rPr>
          <w:rFonts w:ascii="Book Antiqua" w:hAnsi="Book Antiqua"/>
          <w:sz w:val="24"/>
          <w:szCs w:val="24"/>
        </w:rPr>
      </w:pPr>
    </w:p>
    <w:p w:rsidR="00985424"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L’octroi de l’autorisation de dépôt de thèse en vue d’entamer les procédures de soutenance ne peut se faire </w:t>
      </w:r>
      <w:r w:rsidR="00985424" w:rsidRPr="001039FB">
        <w:rPr>
          <w:rFonts w:ascii="Book Antiqua" w:hAnsi="Book Antiqua"/>
          <w:sz w:val="24"/>
          <w:szCs w:val="24"/>
        </w:rPr>
        <w:t xml:space="preserve">avant 30 juin de l’année de la troisième inscription. </w:t>
      </w:r>
    </w:p>
    <w:p w:rsidR="00985424" w:rsidRPr="001039FB" w:rsidRDefault="0054155A"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Cette autorisation est accordée par </w:t>
      </w:r>
      <w:r w:rsidR="00985424" w:rsidRPr="001039FB">
        <w:rPr>
          <w:rFonts w:ascii="Book Antiqua" w:hAnsi="Book Antiqua"/>
          <w:sz w:val="24"/>
          <w:szCs w:val="24"/>
        </w:rPr>
        <w:t xml:space="preserve">le chef d’établissement participant à la formation doctorale après avis favorable </w:t>
      </w:r>
      <w:r w:rsidR="00C7491A" w:rsidRPr="001039FB">
        <w:rPr>
          <w:rFonts w:ascii="Book Antiqua" w:hAnsi="Book Antiqua"/>
          <w:sz w:val="24"/>
          <w:szCs w:val="24"/>
        </w:rPr>
        <w:t xml:space="preserve">du </w:t>
      </w:r>
      <w:r w:rsidR="00985424" w:rsidRPr="001039FB">
        <w:rPr>
          <w:rFonts w:ascii="Book Antiqua" w:hAnsi="Book Antiqua"/>
          <w:sz w:val="24"/>
          <w:szCs w:val="24"/>
        </w:rPr>
        <w:t>directeur de laboratoire</w:t>
      </w:r>
    </w:p>
    <w:p w:rsidR="001F1FAE" w:rsidRPr="001039FB" w:rsidRDefault="001F1FAE" w:rsidP="0054155A">
      <w:pPr>
        <w:autoSpaceDE w:val="0"/>
        <w:autoSpaceDN w:val="0"/>
        <w:adjustRightInd w:val="0"/>
        <w:spacing w:after="0" w:line="240" w:lineRule="auto"/>
        <w:jc w:val="both"/>
        <w:rPr>
          <w:rFonts w:ascii="Book Antiqua" w:hAnsi="Book Antiqua"/>
          <w:sz w:val="24"/>
          <w:szCs w:val="24"/>
        </w:rPr>
      </w:pPr>
    </w:p>
    <w:p w:rsidR="00985424" w:rsidRPr="001039FB" w:rsidRDefault="00985424" w:rsidP="0054155A">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Le dossier de demande de soutenance est composé de :</w:t>
      </w:r>
    </w:p>
    <w:p w:rsidR="00923A91" w:rsidRPr="001039FB" w:rsidRDefault="00923A91" w:rsidP="0054155A">
      <w:pPr>
        <w:autoSpaceDE w:val="0"/>
        <w:autoSpaceDN w:val="0"/>
        <w:adjustRightInd w:val="0"/>
        <w:spacing w:after="0" w:line="240" w:lineRule="auto"/>
        <w:jc w:val="both"/>
        <w:rPr>
          <w:rFonts w:ascii="Book Antiqua" w:hAnsi="Book Antiqua"/>
          <w:sz w:val="24"/>
          <w:szCs w:val="24"/>
        </w:rPr>
      </w:pPr>
    </w:p>
    <w:p w:rsidR="0054155A" w:rsidRPr="001039FB" w:rsidRDefault="0054155A"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Rapport motivé du directeur de thèse ;</w:t>
      </w:r>
    </w:p>
    <w:p w:rsidR="0054155A" w:rsidRPr="001039FB" w:rsidRDefault="0057027D"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5</w:t>
      </w:r>
      <w:r w:rsidR="0054155A" w:rsidRPr="001039FB">
        <w:rPr>
          <w:rFonts w:ascii="Book Antiqua" w:hAnsi="Book Antiqua"/>
          <w:sz w:val="24"/>
          <w:szCs w:val="24"/>
        </w:rPr>
        <w:t>Copie</w:t>
      </w:r>
      <w:r w:rsidR="00985424" w:rsidRPr="001039FB">
        <w:rPr>
          <w:rFonts w:ascii="Book Antiqua" w:hAnsi="Book Antiqua"/>
          <w:sz w:val="24"/>
          <w:szCs w:val="24"/>
        </w:rPr>
        <w:t>s</w:t>
      </w:r>
      <w:r w:rsidR="0054155A" w:rsidRPr="001039FB">
        <w:rPr>
          <w:rFonts w:ascii="Book Antiqua" w:hAnsi="Book Antiqua"/>
          <w:sz w:val="24"/>
          <w:szCs w:val="24"/>
        </w:rPr>
        <w:t xml:space="preserve"> du mémoire de thèse ;</w:t>
      </w:r>
    </w:p>
    <w:p w:rsidR="0054155A" w:rsidRPr="001039FB" w:rsidRDefault="00985424"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Un recueil </w:t>
      </w:r>
      <w:r w:rsidR="0054155A" w:rsidRPr="001039FB">
        <w:rPr>
          <w:rFonts w:ascii="Book Antiqua" w:hAnsi="Book Antiqua"/>
          <w:sz w:val="24"/>
          <w:szCs w:val="24"/>
        </w:rPr>
        <w:t>des publications et éventuellement des brevets d’invention ;</w:t>
      </w:r>
    </w:p>
    <w:p w:rsidR="0054155A" w:rsidRPr="001039FB" w:rsidRDefault="0054155A"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sz w:val="24"/>
          <w:szCs w:val="24"/>
        </w:rPr>
        <w:t xml:space="preserve">Rapport du logiciel anti plagiat adopté par l’université </w:t>
      </w:r>
      <w:r w:rsidR="00923A91" w:rsidRPr="001039FB">
        <w:rPr>
          <w:rFonts w:ascii="Book Antiqua" w:hAnsi="Book Antiqua"/>
          <w:b/>
          <w:bCs/>
          <w:sz w:val="24"/>
          <w:szCs w:val="24"/>
        </w:rPr>
        <w:t>ou CNRST</w:t>
      </w:r>
      <w:r w:rsidRPr="001039FB">
        <w:rPr>
          <w:rFonts w:ascii="Book Antiqua" w:hAnsi="Book Antiqua"/>
          <w:sz w:val="24"/>
          <w:szCs w:val="24"/>
        </w:rPr>
        <w:t>;</w:t>
      </w:r>
    </w:p>
    <w:p w:rsidR="0054155A" w:rsidRPr="001039FB" w:rsidRDefault="0054155A"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Livret du doctorant contenant les attestations justifiants le suivi et la validation des formations complémentaires, les séminaires et les conférences etc. ;</w:t>
      </w:r>
    </w:p>
    <w:p w:rsidR="0054155A" w:rsidRPr="001039FB" w:rsidRDefault="0054155A"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Autorisation de diffusion de la thèse auprès de l’Institut Marocain de l’Information Scientifique et Technique signée par le directeur de thèse et le doctorant</w:t>
      </w:r>
    </w:p>
    <w:p w:rsidR="00FD6263" w:rsidRPr="001039FB" w:rsidRDefault="00FD6263" w:rsidP="00923A91">
      <w:pPr>
        <w:pStyle w:val="Paragraphedeliste"/>
        <w:numPr>
          <w:ilvl w:val="0"/>
          <w:numId w:val="25"/>
        </w:num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Autorisation de diffusion de la thèse sur la plateforme de l’université.</w:t>
      </w:r>
    </w:p>
    <w:p w:rsidR="00E54D24" w:rsidRPr="001039FB" w:rsidRDefault="00E54D24" w:rsidP="00A24A55">
      <w:pPr>
        <w:autoSpaceDE w:val="0"/>
        <w:autoSpaceDN w:val="0"/>
        <w:adjustRightInd w:val="0"/>
        <w:spacing w:after="0" w:line="240" w:lineRule="auto"/>
        <w:rPr>
          <w:rFonts w:ascii="Book Antiqua" w:hAnsi="Book Antiqua" w:cstheme="majorBidi"/>
          <w:b/>
          <w:bCs/>
          <w:color w:val="000099"/>
          <w:sz w:val="24"/>
          <w:szCs w:val="24"/>
        </w:rPr>
      </w:pPr>
    </w:p>
    <w:p w:rsidR="007C148F" w:rsidRPr="001039FB" w:rsidRDefault="00FD6263" w:rsidP="00903FAE">
      <w:pPr>
        <w:autoSpaceDE w:val="0"/>
        <w:autoSpaceDN w:val="0"/>
        <w:adjustRightInd w:val="0"/>
        <w:spacing w:after="0" w:line="240" w:lineRule="auto"/>
        <w:jc w:val="center"/>
        <w:rPr>
          <w:rFonts w:ascii="Book Antiqua" w:hAnsi="Book Antiqua"/>
          <w:b/>
          <w:bCs/>
          <w:color w:val="4F81BD" w:themeColor="accent1"/>
          <w:sz w:val="36"/>
          <w:szCs w:val="36"/>
        </w:rPr>
      </w:pPr>
      <w:r w:rsidRPr="001039FB">
        <w:rPr>
          <w:rFonts w:ascii="Book Antiqua" w:hAnsi="Book Antiqua"/>
          <w:b/>
          <w:bCs/>
          <w:color w:val="4F81BD" w:themeColor="accent1"/>
          <w:sz w:val="36"/>
          <w:szCs w:val="36"/>
        </w:rPr>
        <w:t xml:space="preserve">Chapitre n° 4 : Des </w:t>
      </w:r>
      <w:r w:rsidR="00417365" w:rsidRPr="001039FB">
        <w:rPr>
          <w:rFonts w:ascii="Book Antiqua" w:hAnsi="Book Antiqua"/>
          <w:b/>
          <w:bCs/>
          <w:color w:val="4F81BD" w:themeColor="accent1"/>
          <w:sz w:val="36"/>
          <w:szCs w:val="36"/>
        </w:rPr>
        <w:t xml:space="preserve">différents </w:t>
      </w:r>
    </w:p>
    <w:p w:rsidR="00725899" w:rsidRPr="001039FB" w:rsidRDefault="00725899" w:rsidP="00903FAE">
      <w:pPr>
        <w:autoSpaceDE w:val="0"/>
        <w:autoSpaceDN w:val="0"/>
        <w:adjustRightInd w:val="0"/>
        <w:spacing w:after="0" w:line="240" w:lineRule="auto"/>
        <w:jc w:val="both"/>
        <w:rPr>
          <w:rFonts w:ascii="Book Antiqua" w:hAnsi="Book Antiqua" w:cstheme="majorBidi"/>
          <w:b/>
          <w:bCs/>
          <w:color w:val="FF0000"/>
          <w:sz w:val="24"/>
          <w:szCs w:val="24"/>
        </w:rPr>
      </w:pPr>
    </w:p>
    <w:p w:rsidR="00B32F9F" w:rsidRPr="001039FB" w:rsidRDefault="003460A7" w:rsidP="00223CCC">
      <w:pPr>
        <w:autoSpaceDE w:val="0"/>
        <w:autoSpaceDN w:val="0"/>
        <w:adjustRightInd w:val="0"/>
        <w:spacing w:after="0" w:line="240" w:lineRule="auto"/>
        <w:jc w:val="both"/>
        <w:rPr>
          <w:rFonts w:ascii="Book Antiqua" w:hAnsi="Book Antiqua"/>
          <w:sz w:val="24"/>
          <w:szCs w:val="24"/>
        </w:rPr>
      </w:pPr>
      <w:r w:rsidRPr="001039FB">
        <w:rPr>
          <w:rFonts w:ascii="Book Antiqua" w:hAnsi="Book Antiqua" w:cstheme="majorBidi"/>
          <w:b/>
          <w:bCs/>
          <w:color w:val="4F81BD" w:themeColor="accent1"/>
          <w:sz w:val="24"/>
          <w:szCs w:val="24"/>
        </w:rPr>
        <w:t xml:space="preserve">Article </w:t>
      </w:r>
      <w:r w:rsidR="003C46B4" w:rsidRPr="001039FB">
        <w:rPr>
          <w:rFonts w:ascii="Book Antiqua" w:hAnsi="Book Antiqua" w:cstheme="majorBidi"/>
          <w:b/>
          <w:bCs/>
          <w:color w:val="4F81BD" w:themeColor="accent1"/>
          <w:sz w:val="24"/>
          <w:szCs w:val="24"/>
        </w:rPr>
        <w:t>19</w:t>
      </w:r>
      <w:r w:rsidR="005A4AA9" w:rsidRPr="001039FB">
        <w:rPr>
          <w:rFonts w:ascii="Book Antiqua" w:hAnsi="Book Antiqua" w:cstheme="majorBidi"/>
          <w:b/>
          <w:bCs/>
          <w:color w:val="4F81BD" w:themeColor="accent1"/>
          <w:sz w:val="24"/>
          <w:szCs w:val="24"/>
        </w:rPr>
        <w:t> :</w:t>
      </w:r>
      <w:r w:rsidR="00B32F9F" w:rsidRPr="001039FB">
        <w:rPr>
          <w:rFonts w:ascii="Book Antiqua" w:hAnsi="Book Antiqua"/>
          <w:sz w:val="24"/>
          <w:szCs w:val="24"/>
        </w:rPr>
        <w:t>Si un conflit survient entre l'encadrant(e) et le(a) doctorant(e), il doit être résolu à l'amiable entre eux à l'initiative de l'un d'eux par la communication</w:t>
      </w:r>
      <w:r w:rsidR="00EA1787" w:rsidRPr="001039FB">
        <w:rPr>
          <w:rFonts w:ascii="Book Antiqua" w:hAnsi="Book Antiqua"/>
          <w:sz w:val="24"/>
          <w:szCs w:val="24"/>
        </w:rPr>
        <w:t xml:space="preserve">, </w:t>
      </w:r>
      <w:r w:rsidR="00B32F9F" w:rsidRPr="001039FB">
        <w:rPr>
          <w:rFonts w:ascii="Book Antiqua" w:hAnsi="Book Antiqua"/>
          <w:sz w:val="24"/>
          <w:szCs w:val="24"/>
        </w:rPr>
        <w:t>un dialogue constructif</w:t>
      </w:r>
      <w:r w:rsidR="00EA1787" w:rsidRPr="001039FB">
        <w:rPr>
          <w:rFonts w:ascii="Book Antiqua" w:hAnsi="Book Antiqua"/>
          <w:sz w:val="24"/>
          <w:szCs w:val="24"/>
        </w:rPr>
        <w:t xml:space="preserve"> et</w:t>
      </w:r>
      <w:r w:rsidR="00B32F9F" w:rsidRPr="001039FB">
        <w:rPr>
          <w:rFonts w:ascii="Book Antiqua" w:hAnsi="Book Antiqua"/>
          <w:sz w:val="24"/>
          <w:szCs w:val="24"/>
        </w:rPr>
        <w:t xml:space="preserve"> par tous les moyens disponibles.</w:t>
      </w:r>
    </w:p>
    <w:p w:rsidR="00D06E4A" w:rsidRPr="001039FB" w:rsidRDefault="00D06E4A" w:rsidP="00B32F9F">
      <w:pPr>
        <w:autoSpaceDE w:val="0"/>
        <w:autoSpaceDN w:val="0"/>
        <w:adjustRightInd w:val="0"/>
        <w:spacing w:after="0" w:line="240" w:lineRule="auto"/>
        <w:jc w:val="both"/>
        <w:rPr>
          <w:rFonts w:ascii="Book Antiqua" w:hAnsi="Book Antiqua"/>
          <w:sz w:val="24"/>
          <w:szCs w:val="24"/>
        </w:rPr>
      </w:pPr>
    </w:p>
    <w:p w:rsidR="00B32F9F" w:rsidRPr="001039FB" w:rsidRDefault="00B32F9F" w:rsidP="00B32F9F">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 xml:space="preserve">Si </w:t>
      </w:r>
      <w:r w:rsidR="00EA1787" w:rsidRPr="001039FB">
        <w:rPr>
          <w:rFonts w:ascii="Book Antiqua" w:hAnsi="Book Antiqua"/>
          <w:sz w:val="24"/>
          <w:szCs w:val="24"/>
        </w:rPr>
        <w:t>le</w:t>
      </w:r>
      <w:r w:rsidRPr="001039FB">
        <w:rPr>
          <w:rFonts w:ascii="Book Antiqua" w:hAnsi="Book Antiqua"/>
          <w:sz w:val="24"/>
          <w:szCs w:val="24"/>
        </w:rPr>
        <w:t xml:space="preserve"> problème persiste, l'une ou l'autre des parties peut </w:t>
      </w:r>
      <w:r w:rsidR="00EA1787" w:rsidRPr="001039FB">
        <w:rPr>
          <w:rFonts w:ascii="Book Antiqua" w:hAnsi="Book Antiqua"/>
          <w:sz w:val="24"/>
          <w:szCs w:val="24"/>
        </w:rPr>
        <w:t xml:space="preserve">soumettre </w:t>
      </w:r>
      <w:r w:rsidRPr="001039FB">
        <w:rPr>
          <w:rFonts w:ascii="Book Antiqua" w:hAnsi="Book Antiqua"/>
          <w:sz w:val="24"/>
          <w:szCs w:val="24"/>
        </w:rPr>
        <w:t xml:space="preserve">au directeur du laboratoire afin de lui trouver une issue. Si ce dernier n'est pas en mesure de le résoudre, le conflit pourra être soumis par </w:t>
      </w:r>
      <w:r w:rsidR="00EA1787" w:rsidRPr="001039FB">
        <w:rPr>
          <w:rFonts w:ascii="Book Antiqua" w:hAnsi="Book Antiqua"/>
          <w:sz w:val="24"/>
          <w:szCs w:val="24"/>
        </w:rPr>
        <w:t xml:space="preserve">le directeur </w:t>
      </w:r>
      <w:r w:rsidRPr="001039FB">
        <w:rPr>
          <w:rFonts w:ascii="Book Antiqua" w:hAnsi="Book Antiqua"/>
          <w:sz w:val="24"/>
          <w:szCs w:val="24"/>
        </w:rPr>
        <w:t>au conseil du laboratoire pour le résoudre.</w:t>
      </w:r>
    </w:p>
    <w:p w:rsidR="00D06E4A" w:rsidRPr="001039FB" w:rsidRDefault="00D06E4A" w:rsidP="00F471E7">
      <w:pPr>
        <w:autoSpaceDE w:val="0"/>
        <w:autoSpaceDN w:val="0"/>
        <w:adjustRightInd w:val="0"/>
        <w:spacing w:after="0" w:line="240" w:lineRule="auto"/>
        <w:jc w:val="both"/>
        <w:rPr>
          <w:rFonts w:ascii="Book Antiqua" w:hAnsi="Book Antiqua"/>
          <w:sz w:val="24"/>
          <w:szCs w:val="24"/>
        </w:rPr>
      </w:pPr>
    </w:p>
    <w:p w:rsidR="00B32F9F" w:rsidRPr="001039FB" w:rsidRDefault="00FE7842" w:rsidP="00223CCC">
      <w:pPr>
        <w:spacing w:after="0"/>
        <w:jc w:val="both"/>
        <w:rPr>
          <w:rFonts w:ascii="Book Antiqua" w:hAnsi="Book Antiqua"/>
          <w:sz w:val="24"/>
          <w:szCs w:val="24"/>
        </w:rPr>
      </w:pPr>
      <w:r w:rsidRPr="001039FB">
        <w:rPr>
          <w:rFonts w:ascii="Book Antiqua" w:hAnsi="Book Antiqua"/>
          <w:sz w:val="24"/>
          <w:szCs w:val="24"/>
        </w:rPr>
        <w:t xml:space="preserve">Dans le cas où </w:t>
      </w:r>
      <w:r w:rsidR="00D06E4A" w:rsidRPr="001039FB">
        <w:rPr>
          <w:rFonts w:ascii="Book Antiqua" w:hAnsi="Book Antiqua"/>
          <w:sz w:val="24"/>
          <w:szCs w:val="24"/>
        </w:rPr>
        <w:t>le</w:t>
      </w:r>
      <w:r w:rsidRPr="001039FB">
        <w:rPr>
          <w:rFonts w:ascii="Book Antiqua" w:hAnsi="Book Antiqua"/>
          <w:sz w:val="24"/>
          <w:szCs w:val="24"/>
        </w:rPr>
        <w:t xml:space="preserve"> problème n'est </w:t>
      </w:r>
      <w:r w:rsidR="00D06E4A" w:rsidRPr="001039FB">
        <w:rPr>
          <w:rFonts w:ascii="Book Antiqua" w:hAnsi="Book Antiqua"/>
          <w:sz w:val="24"/>
          <w:szCs w:val="24"/>
        </w:rPr>
        <w:t xml:space="preserve">toujours </w:t>
      </w:r>
      <w:r w:rsidRPr="001039FB">
        <w:rPr>
          <w:rFonts w:ascii="Book Antiqua" w:hAnsi="Book Antiqua"/>
          <w:sz w:val="24"/>
          <w:szCs w:val="24"/>
        </w:rPr>
        <w:t>pas résolu, le problème sera remonté au collège de</w:t>
      </w:r>
      <w:r w:rsidR="00D06E4A" w:rsidRPr="001039FB">
        <w:rPr>
          <w:rFonts w:ascii="Book Antiqua" w:hAnsi="Book Antiqua"/>
          <w:sz w:val="24"/>
          <w:szCs w:val="24"/>
        </w:rPr>
        <w:t>s</w:t>
      </w:r>
      <w:r w:rsidRPr="001039FB">
        <w:rPr>
          <w:rFonts w:ascii="Book Antiqua" w:hAnsi="Book Antiqua"/>
          <w:sz w:val="24"/>
          <w:szCs w:val="24"/>
        </w:rPr>
        <w:t xml:space="preserve"> formation</w:t>
      </w:r>
      <w:r w:rsidR="00D06E4A" w:rsidRPr="001039FB">
        <w:rPr>
          <w:rFonts w:ascii="Book Antiqua" w:hAnsi="Book Antiqua"/>
          <w:sz w:val="24"/>
          <w:szCs w:val="24"/>
        </w:rPr>
        <w:t>s</w:t>
      </w:r>
      <w:r w:rsidR="00E37199">
        <w:rPr>
          <w:rFonts w:ascii="Book Antiqua" w:hAnsi="Book Antiqua"/>
          <w:sz w:val="24"/>
          <w:szCs w:val="24"/>
        </w:rPr>
        <w:t xml:space="preserve"> </w:t>
      </w:r>
      <w:r w:rsidR="00BB19E3" w:rsidRPr="001039FB">
        <w:rPr>
          <w:rFonts w:ascii="Book Antiqua" w:hAnsi="Book Antiqua"/>
          <w:sz w:val="24"/>
          <w:szCs w:val="24"/>
        </w:rPr>
        <w:t>doctoraux</w:t>
      </w:r>
      <w:r w:rsidRPr="001039FB">
        <w:rPr>
          <w:rFonts w:ascii="Book Antiqua" w:hAnsi="Book Antiqua"/>
          <w:sz w:val="24"/>
          <w:szCs w:val="24"/>
        </w:rPr>
        <w:t xml:space="preserve">. Si le problème </w:t>
      </w:r>
      <w:r w:rsidR="00F63A04" w:rsidRPr="001039FB">
        <w:rPr>
          <w:rFonts w:ascii="Book Antiqua" w:hAnsi="Book Antiqua"/>
          <w:sz w:val="24"/>
          <w:szCs w:val="24"/>
        </w:rPr>
        <w:t>demeure sans</w:t>
      </w:r>
      <w:r w:rsidRPr="001039FB">
        <w:rPr>
          <w:rFonts w:ascii="Book Antiqua" w:hAnsi="Book Antiqua"/>
          <w:sz w:val="24"/>
          <w:szCs w:val="24"/>
        </w:rPr>
        <w:t xml:space="preserve"> issue</w:t>
      </w:r>
      <w:r w:rsidR="00D06E4A" w:rsidRPr="001039FB">
        <w:rPr>
          <w:rFonts w:ascii="Book Antiqua" w:hAnsi="Book Antiqua"/>
          <w:sz w:val="24"/>
          <w:szCs w:val="24"/>
        </w:rPr>
        <w:t xml:space="preserve"> et </w:t>
      </w:r>
      <w:r w:rsidRPr="001039FB">
        <w:rPr>
          <w:rFonts w:ascii="Book Antiqua" w:hAnsi="Book Antiqua"/>
          <w:sz w:val="24"/>
          <w:szCs w:val="24"/>
        </w:rPr>
        <w:t xml:space="preserve">est </w:t>
      </w:r>
      <w:r w:rsidR="00F63A04" w:rsidRPr="001039FB">
        <w:rPr>
          <w:rFonts w:ascii="Book Antiqua" w:hAnsi="Book Antiqua"/>
          <w:sz w:val="24"/>
          <w:szCs w:val="24"/>
        </w:rPr>
        <w:t>considéré</w:t>
      </w:r>
      <w:r w:rsidR="00D06E4A" w:rsidRPr="001039FB">
        <w:rPr>
          <w:rFonts w:ascii="Book Antiqua" w:hAnsi="Book Antiqua"/>
          <w:sz w:val="24"/>
          <w:szCs w:val="24"/>
        </w:rPr>
        <w:t xml:space="preserve"> comme</w:t>
      </w:r>
      <w:r w:rsidR="00F63A04" w:rsidRPr="001039FB">
        <w:rPr>
          <w:rFonts w:ascii="Book Antiqua" w:hAnsi="Book Antiqua"/>
          <w:sz w:val="24"/>
          <w:szCs w:val="24"/>
        </w:rPr>
        <w:t xml:space="preserve"> toujours</w:t>
      </w:r>
      <w:r w:rsidRPr="001039FB">
        <w:rPr>
          <w:rFonts w:ascii="Book Antiqua" w:hAnsi="Book Antiqua"/>
          <w:sz w:val="24"/>
          <w:szCs w:val="24"/>
        </w:rPr>
        <w:t xml:space="preserve"> présent</w:t>
      </w:r>
      <w:r w:rsidR="00D06E4A" w:rsidRPr="001039FB">
        <w:rPr>
          <w:rFonts w:ascii="Book Antiqua" w:hAnsi="Book Antiqua"/>
          <w:sz w:val="24"/>
          <w:szCs w:val="24"/>
        </w:rPr>
        <w:t xml:space="preserve">, </w:t>
      </w:r>
      <w:r w:rsidRPr="001039FB">
        <w:rPr>
          <w:rFonts w:ascii="Book Antiqua" w:hAnsi="Book Antiqua"/>
          <w:sz w:val="24"/>
          <w:szCs w:val="24"/>
        </w:rPr>
        <w:t>l'une ou l'autre des parties peut le présenter au directeur du centre d'étude</w:t>
      </w:r>
      <w:r w:rsidR="00D06E4A" w:rsidRPr="001039FB">
        <w:rPr>
          <w:rFonts w:ascii="Book Antiqua" w:hAnsi="Book Antiqua"/>
          <w:sz w:val="24"/>
          <w:szCs w:val="24"/>
        </w:rPr>
        <w:t>s</w:t>
      </w:r>
      <w:r w:rsidRPr="001039FB">
        <w:rPr>
          <w:rFonts w:ascii="Book Antiqua" w:hAnsi="Book Antiqua"/>
          <w:sz w:val="24"/>
          <w:szCs w:val="24"/>
        </w:rPr>
        <w:t xml:space="preserve"> doctoral</w:t>
      </w:r>
      <w:r w:rsidR="00D06E4A" w:rsidRPr="001039FB">
        <w:rPr>
          <w:rFonts w:ascii="Book Antiqua" w:hAnsi="Book Antiqua"/>
          <w:sz w:val="24"/>
          <w:szCs w:val="24"/>
        </w:rPr>
        <w:t>es</w:t>
      </w:r>
      <w:r w:rsidRPr="001039FB">
        <w:rPr>
          <w:rFonts w:ascii="Book Antiqua" w:hAnsi="Book Antiqua"/>
          <w:sz w:val="24"/>
          <w:szCs w:val="24"/>
        </w:rPr>
        <w:t>.</w:t>
      </w:r>
      <w:r w:rsidR="00E37199">
        <w:rPr>
          <w:rFonts w:ascii="Book Antiqua" w:hAnsi="Book Antiqua"/>
          <w:sz w:val="24"/>
          <w:szCs w:val="24"/>
        </w:rPr>
        <w:t xml:space="preserve"> </w:t>
      </w:r>
      <w:r w:rsidR="00B32F9F" w:rsidRPr="001039FB">
        <w:rPr>
          <w:rFonts w:ascii="Book Antiqua" w:hAnsi="Book Antiqua"/>
          <w:sz w:val="24"/>
          <w:szCs w:val="24"/>
        </w:rPr>
        <w:t xml:space="preserve">Si ce dernier n'est pas en mesure de le résoudre, l'une </w:t>
      </w:r>
      <w:r w:rsidR="00A353E3" w:rsidRPr="001039FB">
        <w:rPr>
          <w:rFonts w:ascii="Book Antiqua" w:hAnsi="Book Antiqua"/>
          <w:sz w:val="24"/>
          <w:szCs w:val="24"/>
        </w:rPr>
        <w:t xml:space="preserve">ou l’autre </w:t>
      </w:r>
      <w:r w:rsidR="00B32F9F" w:rsidRPr="001039FB">
        <w:rPr>
          <w:rFonts w:ascii="Book Antiqua" w:hAnsi="Book Antiqua"/>
          <w:sz w:val="24"/>
          <w:szCs w:val="24"/>
        </w:rPr>
        <w:t>des parties du conflit peut le soumet</w:t>
      </w:r>
      <w:r w:rsidR="00A353E3" w:rsidRPr="001039FB">
        <w:rPr>
          <w:rFonts w:ascii="Book Antiqua" w:hAnsi="Book Antiqua"/>
          <w:sz w:val="24"/>
          <w:szCs w:val="24"/>
        </w:rPr>
        <w:t>tre cette</w:t>
      </w:r>
      <w:r w:rsidR="00B32F9F" w:rsidRPr="001039FB">
        <w:rPr>
          <w:rFonts w:ascii="Book Antiqua" w:hAnsi="Book Antiqua"/>
          <w:sz w:val="24"/>
          <w:szCs w:val="24"/>
        </w:rPr>
        <w:t xml:space="preserve"> fois</w:t>
      </w:r>
      <w:r w:rsidR="00A353E3" w:rsidRPr="001039FB">
        <w:rPr>
          <w:rFonts w:ascii="Book Antiqua" w:hAnsi="Book Antiqua"/>
          <w:sz w:val="24"/>
          <w:szCs w:val="24"/>
        </w:rPr>
        <w:t xml:space="preserve">-ci </w:t>
      </w:r>
      <w:r w:rsidR="00B32F9F" w:rsidRPr="001039FB">
        <w:rPr>
          <w:rFonts w:ascii="Book Antiqua" w:hAnsi="Book Antiqua"/>
          <w:sz w:val="24"/>
          <w:szCs w:val="24"/>
        </w:rPr>
        <w:t>au conseil du centre d'étude</w:t>
      </w:r>
      <w:r w:rsidR="00A353E3" w:rsidRPr="001039FB">
        <w:rPr>
          <w:rFonts w:ascii="Book Antiqua" w:hAnsi="Book Antiqua"/>
          <w:sz w:val="24"/>
          <w:szCs w:val="24"/>
        </w:rPr>
        <w:t>s</w:t>
      </w:r>
      <w:r w:rsidR="00B32F9F" w:rsidRPr="001039FB">
        <w:rPr>
          <w:rFonts w:ascii="Book Antiqua" w:hAnsi="Book Antiqua"/>
          <w:sz w:val="24"/>
          <w:szCs w:val="24"/>
        </w:rPr>
        <w:t xml:space="preserve"> doctoral</w:t>
      </w:r>
      <w:r w:rsidR="00A353E3" w:rsidRPr="001039FB">
        <w:rPr>
          <w:rFonts w:ascii="Book Antiqua" w:hAnsi="Book Antiqua"/>
          <w:sz w:val="24"/>
          <w:szCs w:val="24"/>
        </w:rPr>
        <w:t>es</w:t>
      </w:r>
      <w:r w:rsidR="00B32F9F" w:rsidRPr="001039FB">
        <w:rPr>
          <w:rFonts w:ascii="Book Antiqua" w:hAnsi="Book Antiqua"/>
          <w:sz w:val="24"/>
          <w:szCs w:val="24"/>
        </w:rPr>
        <w:t xml:space="preserve">. Le directeur de </w:t>
      </w:r>
      <w:r w:rsidR="002F1AD2" w:rsidRPr="001039FB">
        <w:rPr>
          <w:rFonts w:ascii="Book Antiqua" w:hAnsi="Book Antiqua"/>
          <w:sz w:val="24"/>
          <w:szCs w:val="24"/>
        </w:rPr>
        <w:t>CED désigne</w:t>
      </w:r>
      <w:r w:rsidR="00E37199">
        <w:rPr>
          <w:rFonts w:ascii="Book Antiqua" w:hAnsi="Book Antiqua"/>
          <w:sz w:val="24"/>
          <w:szCs w:val="24"/>
        </w:rPr>
        <w:t xml:space="preserve"> </w:t>
      </w:r>
      <w:r w:rsidR="00A353E3" w:rsidRPr="001039FB">
        <w:rPr>
          <w:rFonts w:ascii="Book Antiqua" w:hAnsi="Book Antiqua"/>
          <w:sz w:val="24"/>
          <w:szCs w:val="24"/>
        </w:rPr>
        <w:t xml:space="preserve">alors </w:t>
      </w:r>
      <w:r w:rsidR="00B32F9F" w:rsidRPr="001039FB">
        <w:rPr>
          <w:rFonts w:ascii="Book Antiqua" w:hAnsi="Book Antiqua"/>
          <w:sz w:val="24"/>
          <w:szCs w:val="24"/>
        </w:rPr>
        <w:t xml:space="preserve">une commission </w:t>
      </w:r>
      <w:r w:rsidR="00A353E3" w:rsidRPr="001039FB">
        <w:rPr>
          <w:rFonts w:ascii="Book Antiqua" w:hAnsi="Book Antiqua"/>
          <w:sz w:val="24"/>
          <w:szCs w:val="24"/>
        </w:rPr>
        <w:t xml:space="preserve">adhoc émanant du conseil </w:t>
      </w:r>
      <w:r w:rsidR="002F1AD2" w:rsidRPr="001039FB">
        <w:rPr>
          <w:rFonts w:ascii="Book Antiqua" w:hAnsi="Book Antiqua"/>
          <w:sz w:val="24"/>
          <w:szCs w:val="24"/>
        </w:rPr>
        <w:t>pour</w:t>
      </w:r>
      <w:r w:rsidR="00B32F9F" w:rsidRPr="001039FB">
        <w:rPr>
          <w:rFonts w:ascii="Book Antiqua" w:hAnsi="Book Antiqua"/>
          <w:sz w:val="24"/>
          <w:szCs w:val="24"/>
        </w:rPr>
        <w:t xml:space="preserve"> établir et soumettre au </w:t>
      </w:r>
      <w:r w:rsidR="002F1AD2" w:rsidRPr="001039FB">
        <w:rPr>
          <w:rFonts w:ascii="Book Antiqua" w:hAnsi="Book Antiqua"/>
          <w:sz w:val="24"/>
          <w:szCs w:val="24"/>
        </w:rPr>
        <w:t>directeur un</w:t>
      </w:r>
      <w:r w:rsidR="00B32F9F" w:rsidRPr="001039FB">
        <w:rPr>
          <w:rFonts w:ascii="Book Antiqua" w:hAnsi="Book Antiqua"/>
          <w:sz w:val="24"/>
          <w:szCs w:val="24"/>
        </w:rPr>
        <w:t xml:space="preserve"> rapport détaillé, comprenant des recommandations pour des solutions possibles à ce problème.</w:t>
      </w:r>
    </w:p>
    <w:p w:rsidR="00B32F9F" w:rsidRPr="001039FB" w:rsidRDefault="00B32F9F" w:rsidP="0035651E">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t>Ces recommandations peuvent comprendre, le cas échéant, un refus de réinscrire l'étudiant(e) dans le cycle du doctorat, ou le changement d</w:t>
      </w:r>
      <w:r w:rsidR="0035651E" w:rsidRPr="001039FB">
        <w:rPr>
          <w:rFonts w:ascii="Book Antiqua" w:hAnsi="Book Antiqua"/>
          <w:sz w:val="24"/>
          <w:szCs w:val="24"/>
        </w:rPr>
        <w:t>e l’enseignant</w:t>
      </w:r>
      <w:r w:rsidRPr="001039FB">
        <w:rPr>
          <w:rFonts w:ascii="Book Antiqua" w:hAnsi="Book Antiqua"/>
          <w:sz w:val="24"/>
          <w:szCs w:val="24"/>
        </w:rPr>
        <w:t>(e) encadrant (e).</w:t>
      </w:r>
    </w:p>
    <w:p w:rsidR="0035651E" w:rsidRPr="001039FB" w:rsidRDefault="0035651E" w:rsidP="0035651E">
      <w:pPr>
        <w:autoSpaceDE w:val="0"/>
        <w:autoSpaceDN w:val="0"/>
        <w:adjustRightInd w:val="0"/>
        <w:spacing w:after="0" w:line="240" w:lineRule="auto"/>
        <w:jc w:val="both"/>
        <w:rPr>
          <w:rFonts w:ascii="Book Antiqua" w:hAnsi="Book Antiqua"/>
          <w:sz w:val="24"/>
          <w:szCs w:val="24"/>
        </w:rPr>
      </w:pPr>
    </w:p>
    <w:p w:rsidR="00F471E7" w:rsidRPr="001039FB" w:rsidRDefault="00B32F9F" w:rsidP="0035651E">
      <w:pPr>
        <w:autoSpaceDE w:val="0"/>
        <w:autoSpaceDN w:val="0"/>
        <w:adjustRightInd w:val="0"/>
        <w:spacing w:after="0" w:line="240" w:lineRule="auto"/>
        <w:jc w:val="both"/>
        <w:rPr>
          <w:rFonts w:ascii="Book Antiqua" w:hAnsi="Book Antiqua"/>
          <w:sz w:val="24"/>
          <w:szCs w:val="24"/>
        </w:rPr>
      </w:pPr>
      <w:r w:rsidRPr="001039FB">
        <w:rPr>
          <w:rFonts w:ascii="Book Antiqua" w:hAnsi="Book Antiqua"/>
          <w:sz w:val="24"/>
          <w:szCs w:val="24"/>
        </w:rPr>
        <w:lastRenderedPageBreak/>
        <w:t>Le directeur du CED après concertation avec le (a) président (e) de l’université prend la décision appropriée au vu de ce rapport, et en informe toutes les parties concernées dans un délai n'excédant pas une semaine à compter de la réception de ce rapport. Dans tous les cas, la résolution de ce problème ne doit pas excéder trois mois.</w:t>
      </w:r>
    </w:p>
    <w:p w:rsidR="0035651E" w:rsidRDefault="0035651E" w:rsidP="0035651E">
      <w:pPr>
        <w:autoSpaceDE w:val="0"/>
        <w:autoSpaceDN w:val="0"/>
        <w:adjustRightInd w:val="0"/>
        <w:spacing w:after="0" w:line="240" w:lineRule="auto"/>
        <w:jc w:val="both"/>
        <w:rPr>
          <w:rFonts w:ascii="Book Antiqua" w:hAnsi="Book Antiqua"/>
          <w:sz w:val="24"/>
          <w:szCs w:val="24"/>
        </w:rPr>
      </w:pPr>
    </w:p>
    <w:p w:rsidR="00223CCC" w:rsidRPr="001039FB" w:rsidRDefault="00223CCC" w:rsidP="0035651E">
      <w:pPr>
        <w:autoSpaceDE w:val="0"/>
        <w:autoSpaceDN w:val="0"/>
        <w:adjustRightInd w:val="0"/>
        <w:spacing w:after="0" w:line="240" w:lineRule="auto"/>
        <w:jc w:val="both"/>
        <w:rPr>
          <w:rFonts w:ascii="Book Antiqua" w:hAnsi="Book Antiqua"/>
          <w:sz w:val="24"/>
          <w:szCs w:val="24"/>
        </w:rPr>
      </w:pPr>
    </w:p>
    <w:p w:rsidR="00917EB6" w:rsidRPr="001039FB" w:rsidRDefault="00321BEB" w:rsidP="0035651E">
      <w:pPr>
        <w:autoSpaceDE w:val="0"/>
        <w:autoSpaceDN w:val="0"/>
        <w:adjustRightInd w:val="0"/>
        <w:spacing w:after="0" w:line="240" w:lineRule="auto"/>
        <w:jc w:val="center"/>
        <w:rPr>
          <w:rFonts w:ascii="Book Antiqua" w:hAnsi="Book Antiqua" w:cstheme="majorBidi"/>
          <w:b/>
          <w:bCs/>
          <w:color w:val="4F81BD" w:themeColor="accent1"/>
          <w:sz w:val="36"/>
          <w:szCs w:val="36"/>
        </w:rPr>
      </w:pPr>
      <w:r w:rsidRPr="001039FB">
        <w:rPr>
          <w:rFonts w:ascii="Book Antiqua" w:hAnsi="Book Antiqua" w:cstheme="majorBidi"/>
          <w:b/>
          <w:bCs/>
          <w:color w:val="4F81BD" w:themeColor="accent1"/>
          <w:sz w:val="36"/>
          <w:szCs w:val="36"/>
        </w:rPr>
        <w:t xml:space="preserve">Chapitre n° 5 : </w:t>
      </w:r>
      <w:r w:rsidR="00F24056" w:rsidRPr="001039FB">
        <w:rPr>
          <w:rFonts w:ascii="Book Antiqua" w:hAnsi="Book Antiqua" w:cstheme="majorBidi"/>
          <w:b/>
          <w:bCs/>
          <w:color w:val="4F81BD" w:themeColor="accent1"/>
          <w:sz w:val="36"/>
          <w:szCs w:val="36"/>
        </w:rPr>
        <w:t>V</w:t>
      </w:r>
      <w:r w:rsidR="007C148F" w:rsidRPr="001039FB">
        <w:rPr>
          <w:rFonts w:ascii="Book Antiqua" w:hAnsi="Book Antiqua" w:cstheme="majorBidi"/>
          <w:b/>
          <w:bCs/>
          <w:color w:val="4F81BD" w:themeColor="accent1"/>
          <w:sz w:val="36"/>
          <w:szCs w:val="36"/>
        </w:rPr>
        <w:t>alorisation des résultats</w:t>
      </w:r>
      <w:r w:rsidR="00F24056" w:rsidRPr="001039FB">
        <w:rPr>
          <w:rFonts w:ascii="Book Antiqua" w:hAnsi="Book Antiqua" w:cstheme="majorBidi"/>
          <w:b/>
          <w:bCs/>
          <w:color w:val="4F81BD" w:themeColor="accent1"/>
          <w:sz w:val="36"/>
          <w:szCs w:val="36"/>
        </w:rPr>
        <w:t xml:space="preserve"> de recherche</w:t>
      </w:r>
    </w:p>
    <w:p w:rsidR="007C148F" w:rsidRPr="001039FB" w:rsidRDefault="009C2A01" w:rsidP="0035651E">
      <w:pPr>
        <w:autoSpaceDE w:val="0"/>
        <w:autoSpaceDN w:val="0"/>
        <w:adjustRightInd w:val="0"/>
        <w:spacing w:after="0" w:line="240" w:lineRule="auto"/>
        <w:jc w:val="center"/>
        <w:rPr>
          <w:rFonts w:ascii="Book Antiqua" w:hAnsi="Book Antiqua" w:cstheme="majorBidi"/>
          <w:b/>
          <w:bCs/>
          <w:color w:val="4F81BD" w:themeColor="accent1"/>
          <w:sz w:val="36"/>
          <w:szCs w:val="36"/>
        </w:rPr>
      </w:pPr>
      <w:r w:rsidRPr="001039FB">
        <w:rPr>
          <w:rFonts w:ascii="Book Antiqua" w:hAnsi="Book Antiqua" w:cstheme="majorBidi"/>
          <w:b/>
          <w:bCs/>
          <w:color w:val="4F81BD" w:themeColor="accent1"/>
          <w:sz w:val="36"/>
          <w:szCs w:val="36"/>
        </w:rPr>
        <w:t>et délivrance de diplôme</w:t>
      </w:r>
    </w:p>
    <w:p w:rsidR="00BE47F9" w:rsidRPr="001039FB" w:rsidRDefault="00BE47F9" w:rsidP="00903FAE">
      <w:pPr>
        <w:autoSpaceDE w:val="0"/>
        <w:autoSpaceDN w:val="0"/>
        <w:adjustRightInd w:val="0"/>
        <w:spacing w:after="0" w:line="240" w:lineRule="auto"/>
        <w:jc w:val="both"/>
        <w:rPr>
          <w:rFonts w:ascii="Book Antiqua" w:hAnsi="Book Antiqua" w:cstheme="majorBidi"/>
          <w:b/>
          <w:bCs/>
          <w:sz w:val="24"/>
          <w:szCs w:val="24"/>
        </w:rPr>
      </w:pPr>
    </w:p>
    <w:p w:rsidR="005A4AA9" w:rsidRPr="001039FB" w:rsidRDefault="003460A7" w:rsidP="00903FAE">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Article</w:t>
      </w:r>
      <w:r w:rsidR="0061114F" w:rsidRPr="001039FB">
        <w:rPr>
          <w:rFonts w:ascii="Book Antiqua" w:hAnsi="Book Antiqua"/>
          <w:b/>
          <w:bCs/>
          <w:color w:val="4F81BD" w:themeColor="accent1"/>
          <w:sz w:val="24"/>
          <w:szCs w:val="24"/>
        </w:rPr>
        <w:t xml:space="preserve"> 20</w:t>
      </w:r>
      <w:r w:rsidR="005A4AA9" w:rsidRPr="001039FB">
        <w:rPr>
          <w:rFonts w:ascii="Book Antiqua" w:hAnsi="Book Antiqua" w:cstheme="majorBidi"/>
          <w:b/>
          <w:bCs/>
          <w:color w:val="000099"/>
          <w:sz w:val="24"/>
          <w:szCs w:val="24"/>
        </w:rPr>
        <w:t>:</w:t>
      </w:r>
      <w:r w:rsidR="005A4AA9" w:rsidRPr="001039FB">
        <w:rPr>
          <w:rFonts w:ascii="Book Antiqua" w:hAnsi="Book Antiqua"/>
          <w:sz w:val="24"/>
          <w:szCs w:val="24"/>
        </w:rPr>
        <w:t xml:space="preserve">Tout type de valorisation </w:t>
      </w:r>
      <w:r w:rsidR="00917EB6" w:rsidRPr="001039FB">
        <w:rPr>
          <w:rFonts w:ascii="Book Antiqua" w:hAnsi="Book Antiqua"/>
          <w:sz w:val="24"/>
          <w:szCs w:val="24"/>
        </w:rPr>
        <w:t xml:space="preserve">des travaux de recherche </w:t>
      </w:r>
      <w:r w:rsidR="005A4AA9" w:rsidRPr="001039FB">
        <w:rPr>
          <w:rFonts w:ascii="Book Antiqua" w:hAnsi="Book Antiqua"/>
          <w:sz w:val="24"/>
          <w:szCs w:val="24"/>
        </w:rPr>
        <w:t xml:space="preserve">ne peut être </w:t>
      </w:r>
      <w:r w:rsidR="00750CDD" w:rsidRPr="001039FB">
        <w:rPr>
          <w:rFonts w:ascii="Book Antiqua" w:hAnsi="Book Antiqua"/>
          <w:sz w:val="24"/>
          <w:szCs w:val="24"/>
        </w:rPr>
        <w:t xml:space="preserve">effectué </w:t>
      </w:r>
      <w:r w:rsidR="00917EB6" w:rsidRPr="001039FB">
        <w:rPr>
          <w:rFonts w:ascii="Book Antiqua" w:hAnsi="Book Antiqua"/>
          <w:sz w:val="24"/>
          <w:szCs w:val="24"/>
        </w:rPr>
        <w:t xml:space="preserve">par le doctorant </w:t>
      </w:r>
      <w:r w:rsidR="00750CDD" w:rsidRPr="001039FB">
        <w:rPr>
          <w:rFonts w:ascii="Book Antiqua" w:hAnsi="Book Antiqua"/>
          <w:sz w:val="24"/>
          <w:szCs w:val="24"/>
        </w:rPr>
        <w:t>sans l’accord préalable du directeur de thèse.</w:t>
      </w:r>
    </w:p>
    <w:p w:rsidR="005A4AA9" w:rsidRPr="001039FB" w:rsidRDefault="005A4AA9" w:rsidP="00903FAE">
      <w:pPr>
        <w:autoSpaceDE w:val="0"/>
        <w:autoSpaceDN w:val="0"/>
        <w:adjustRightInd w:val="0"/>
        <w:spacing w:after="0" w:line="240" w:lineRule="auto"/>
        <w:jc w:val="both"/>
        <w:rPr>
          <w:rFonts w:ascii="Book Antiqua" w:hAnsi="Book Antiqua" w:cstheme="majorBidi"/>
          <w:sz w:val="24"/>
          <w:szCs w:val="24"/>
        </w:rPr>
      </w:pPr>
    </w:p>
    <w:p w:rsidR="009336CB" w:rsidRPr="001039FB" w:rsidRDefault="009C2A01" w:rsidP="00A71982">
      <w:pPr>
        <w:autoSpaceDE w:val="0"/>
        <w:autoSpaceDN w:val="0"/>
        <w:adjustRightInd w:val="0"/>
        <w:spacing w:after="0" w:line="240" w:lineRule="auto"/>
        <w:jc w:val="both"/>
        <w:rPr>
          <w:rFonts w:ascii="Book Antiqua" w:hAnsi="Book Antiqua"/>
          <w:sz w:val="24"/>
          <w:szCs w:val="24"/>
        </w:rPr>
      </w:pPr>
      <w:r w:rsidRPr="001039FB">
        <w:rPr>
          <w:rFonts w:ascii="Book Antiqua" w:hAnsi="Book Antiqua" w:cstheme="majorBidi"/>
          <w:b/>
          <w:bCs/>
          <w:color w:val="4F81BD" w:themeColor="accent1"/>
          <w:sz w:val="24"/>
          <w:szCs w:val="24"/>
        </w:rPr>
        <w:t xml:space="preserve">Article </w:t>
      </w:r>
      <w:r w:rsidR="0061114F" w:rsidRPr="001039FB">
        <w:rPr>
          <w:rFonts w:ascii="Book Antiqua" w:hAnsi="Book Antiqua" w:cstheme="majorBidi"/>
          <w:b/>
          <w:bCs/>
          <w:color w:val="4F81BD" w:themeColor="accent1"/>
          <w:sz w:val="24"/>
          <w:szCs w:val="24"/>
        </w:rPr>
        <w:t xml:space="preserve">21 </w:t>
      </w:r>
      <w:r w:rsidRPr="001039FB">
        <w:rPr>
          <w:rFonts w:ascii="Book Antiqua" w:hAnsi="Book Antiqua" w:cstheme="majorBidi"/>
          <w:b/>
          <w:bCs/>
          <w:color w:val="4F81BD" w:themeColor="accent1"/>
          <w:sz w:val="24"/>
          <w:szCs w:val="24"/>
        </w:rPr>
        <w:t xml:space="preserve">: </w:t>
      </w:r>
      <w:r w:rsidR="00BD642F" w:rsidRPr="001039FB">
        <w:rPr>
          <w:rFonts w:ascii="Book Antiqua" w:hAnsi="Book Antiqua"/>
          <w:sz w:val="24"/>
          <w:szCs w:val="24"/>
        </w:rPr>
        <w:t>Le</w:t>
      </w:r>
      <w:r w:rsidRPr="001039FB">
        <w:rPr>
          <w:rFonts w:ascii="Book Antiqua" w:hAnsi="Book Antiqua"/>
          <w:sz w:val="24"/>
          <w:szCs w:val="24"/>
        </w:rPr>
        <w:t xml:space="preserve"> diplôme</w:t>
      </w:r>
      <w:r w:rsidR="00BD642F" w:rsidRPr="001039FB">
        <w:rPr>
          <w:rFonts w:ascii="Book Antiqua" w:hAnsi="Book Antiqua"/>
          <w:sz w:val="24"/>
          <w:szCs w:val="24"/>
        </w:rPr>
        <w:t xml:space="preserve"> de Doctorat est délivré au doctorant après</w:t>
      </w:r>
      <w:r w:rsidR="009336CB" w:rsidRPr="001039FB">
        <w:rPr>
          <w:rFonts w:ascii="Book Antiqua" w:hAnsi="Book Antiqua"/>
          <w:sz w:val="24"/>
          <w:szCs w:val="24"/>
        </w:rPr>
        <w:t xml:space="preserve"> réception de :</w:t>
      </w:r>
    </w:p>
    <w:p w:rsidR="009336CB" w:rsidRPr="001039FB" w:rsidRDefault="009336CB" w:rsidP="00A71982">
      <w:pPr>
        <w:autoSpaceDE w:val="0"/>
        <w:autoSpaceDN w:val="0"/>
        <w:adjustRightInd w:val="0"/>
        <w:spacing w:after="0" w:line="240" w:lineRule="auto"/>
        <w:jc w:val="both"/>
        <w:rPr>
          <w:rFonts w:ascii="Book Antiqua" w:hAnsi="Book Antiqua"/>
          <w:sz w:val="24"/>
          <w:szCs w:val="24"/>
        </w:rPr>
      </w:pPr>
    </w:p>
    <w:p w:rsidR="009336CB" w:rsidRPr="001039FB" w:rsidRDefault="009336CB" w:rsidP="009336CB">
      <w:pPr>
        <w:pStyle w:val="Paragraphedeliste"/>
        <w:numPr>
          <w:ilvl w:val="0"/>
          <w:numId w:val="30"/>
        </w:numPr>
        <w:autoSpaceDE w:val="0"/>
        <w:autoSpaceDN w:val="0"/>
        <w:adjustRightInd w:val="0"/>
        <w:spacing w:after="0" w:line="240" w:lineRule="auto"/>
        <w:ind w:left="567"/>
        <w:jc w:val="both"/>
        <w:rPr>
          <w:rFonts w:ascii="Book Antiqua" w:hAnsi="Book Antiqua"/>
          <w:sz w:val="24"/>
          <w:szCs w:val="24"/>
        </w:rPr>
      </w:pPr>
      <w:r w:rsidRPr="001039FB">
        <w:rPr>
          <w:rFonts w:ascii="Book Antiqua" w:hAnsi="Book Antiqua"/>
          <w:sz w:val="24"/>
          <w:szCs w:val="24"/>
        </w:rPr>
        <w:t>Avis</w:t>
      </w:r>
      <w:r w:rsidR="00BD642F" w:rsidRPr="001039FB">
        <w:rPr>
          <w:rFonts w:ascii="Book Antiqua" w:hAnsi="Book Antiqua"/>
          <w:sz w:val="24"/>
          <w:szCs w:val="24"/>
        </w:rPr>
        <w:t xml:space="preserve"> favorable </w:t>
      </w:r>
      <w:r w:rsidR="00D121CC" w:rsidRPr="001039FB">
        <w:rPr>
          <w:rFonts w:ascii="Book Antiqua" w:hAnsi="Book Antiqua"/>
          <w:sz w:val="24"/>
          <w:szCs w:val="24"/>
        </w:rPr>
        <w:t xml:space="preserve">par un PV de </w:t>
      </w:r>
      <w:r w:rsidR="00051A7D" w:rsidRPr="001039FB">
        <w:rPr>
          <w:rFonts w:ascii="Book Antiqua" w:hAnsi="Book Antiqua"/>
          <w:sz w:val="24"/>
          <w:szCs w:val="24"/>
        </w:rPr>
        <w:t>soutenance,</w:t>
      </w:r>
    </w:p>
    <w:p w:rsidR="009336CB" w:rsidRPr="001039FB" w:rsidRDefault="009336CB" w:rsidP="009336CB">
      <w:pPr>
        <w:pStyle w:val="Paragraphedeliste"/>
        <w:numPr>
          <w:ilvl w:val="0"/>
          <w:numId w:val="30"/>
        </w:numPr>
        <w:autoSpaceDE w:val="0"/>
        <w:autoSpaceDN w:val="0"/>
        <w:adjustRightInd w:val="0"/>
        <w:spacing w:after="0" w:line="240" w:lineRule="auto"/>
        <w:ind w:left="567"/>
        <w:jc w:val="both"/>
        <w:rPr>
          <w:rFonts w:ascii="Book Antiqua" w:hAnsi="Book Antiqua"/>
          <w:sz w:val="24"/>
          <w:szCs w:val="24"/>
        </w:rPr>
      </w:pPr>
      <w:r w:rsidRPr="001039FB">
        <w:rPr>
          <w:rFonts w:ascii="Book Antiqua" w:hAnsi="Book Antiqua"/>
          <w:sz w:val="24"/>
          <w:szCs w:val="24"/>
        </w:rPr>
        <w:t>Avoir</w:t>
      </w:r>
      <w:r w:rsidR="009C2A01" w:rsidRPr="001039FB">
        <w:rPr>
          <w:rFonts w:ascii="Book Antiqua" w:hAnsi="Book Antiqua"/>
          <w:sz w:val="24"/>
          <w:szCs w:val="24"/>
        </w:rPr>
        <w:t xml:space="preserve"> déposé la version définitive de la thèse intégrant toute</w:t>
      </w:r>
      <w:r w:rsidR="00A21F99" w:rsidRPr="001039FB">
        <w:rPr>
          <w:rFonts w:ascii="Book Antiqua" w:hAnsi="Book Antiqua"/>
          <w:sz w:val="24"/>
          <w:szCs w:val="24"/>
        </w:rPr>
        <w:t>s</w:t>
      </w:r>
      <w:r w:rsidR="009C2A01" w:rsidRPr="001039FB">
        <w:rPr>
          <w:rFonts w:ascii="Book Antiqua" w:hAnsi="Book Antiqua"/>
          <w:sz w:val="24"/>
          <w:szCs w:val="24"/>
        </w:rPr>
        <w:t xml:space="preserve"> les corrections </w:t>
      </w:r>
      <w:r w:rsidR="00D121CC" w:rsidRPr="001039FB">
        <w:rPr>
          <w:rFonts w:ascii="Book Antiqua" w:hAnsi="Book Antiqua"/>
          <w:sz w:val="24"/>
          <w:szCs w:val="24"/>
        </w:rPr>
        <w:t xml:space="preserve">si </w:t>
      </w:r>
      <w:r w:rsidR="00A21F99" w:rsidRPr="001039FB">
        <w:rPr>
          <w:rFonts w:ascii="Book Antiqua" w:hAnsi="Book Antiqua"/>
          <w:sz w:val="24"/>
          <w:szCs w:val="24"/>
        </w:rPr>
        <w:t>demandées</w:t>
      </w:r>
      <w:r w:rsidR="009C2A01" w:rsidRPr="001039FB">
        <w:rPr>
          <w:rFonts w:ascii="Book Antiqua" w:hAnsi="Book Antiqua"/>
          <w:sz w:val="24"/>
          <w:szCs w:val="24"/>
        </w:rPr>
        <w:t xml:space="preserve"> par les membres du jury et validée par le</w:t>
      </w:r>
      <w:r w:rsidR="00840E2C" w:rsidRPr="001039FB">
        <w:rPr>
          <w:rFonts w:ascii="Book Antiqua" w:hAnsi="Book Antiqua"/>
          <w:sz w:val="24"/>
          <w:szCs w:val="24"/>
        </w:rPr>
        <w:t xml:space="preserve"> président de jury</w:t>
      </w:r>
      <w:r w:rsidR="009C2A01" w:rsidRPr="001039FB">
        <w:rPr>
          <w:rFonts w:ascii="Book Antiqua" w:hAnsi="Book Antiqua"/>
          <w:sz w:val="24"/>
          <w:szCs w:val="24"/>
        </w:rPr>
        <w:t xml:space="preserve">, </w:t>
      </w:r>
    </w:p>
    <w:p w:rsidR="009336CB" w:rsidRPr="001039FB" w:rsidRDefault="009336CB" w:rsidP="009336CB">
      <w:pPr>
        <w:pStyle w:val="Paragraphedeliste"/>
        <w:numPr>
          <w:ilvl w:val="0"/>
          <w:numId w:val="30"/>
        </w:numPr>
        <w:autoSpaceDE w:val="0"/>
        <w:autoSpaceDN w:val="0"/>
        <w:adjustRightInd w:val="0"/>
        <w:spacing w:after="0" w:line="240" w:lineRule="auto"/>
        <w:ind w:left="567"/>
        <w:jc w:val="both"/>
        <w:rPr>
          <w:rFonts w:ascii="Book Antiqua" w:hAnsi="Book Antiqua"/>
          <w:sz w:val="24"/>
          <w:szCs w:val="24"/>
        </w:rPr>
      </w:pPr>
      <w:r w:rsidRPr="001039FB">
        <w:rPr>
          <w:rFonts w:ascii="Book Antiqua" w:hAnsi="Book Antiqua"/>
          <w:sz w:val="24"/>
          <w:szCs w:val="24"/>
        </w:rPr>
        <w:t xml:space="preserve">Fournir un quitus </w:t>
      </w:r>
      <w:r w:rsidR="00A71982" w:rsidRPr="001039FB">
        <w:rPr>
          <w:rFonts w:ascii="Book Antiqua" w:hAnsi="Book Antiqua"/>
          <w:sz w:val="24"/>
          <w:szCs w:val="24"/>
        </w:rPr>
        <w:t>justifi</w:t>
      </w:r>
      <w:r w:rsidRPr="001039FB">
        <w:rPr>
          <w:rFonts w:ascii="Book Antiqua" w:hAnsi="Book Antiqua"/>
          <w:sz w:val="24"/>
          <w:szCs w:val="24"/>
        </w:rPr>
        <w:t>ant que le doctorant n’a</w:t>
      </w:r>
      <w:r w:rsidR="00C94C06" w:rsidRPr="001039FB">
        <w:rPr>
          <w:rFonts w:ascii="Book Antiqua" w:hAnsi="Book Antiqua"/>
          <w:sz w:val="24"/>
          <w:szCs w:val="24"/>
        </w:rPr>
        <w:t xml:space="preserve"> à sa possession aucun matériel ou une documentation de l’établissement</w:t>
      </w:r>
      <w:r w:rsidRPr="001039FB">
        <w:rPr>
          <w:rFonts w:ascii="Book Antiqua" w:hAnsi="Book Antiqua"/>
          <w:sz w:val="24"/>
          <w:szCs w:val="24"/>
        </w:rPr>
        <w:t>, du laboratoire d’accueil et de la bibliothèque de l’université.</w:t>
      </w:r>
    </w:p>
    <w:p w:rsidR="000F0F25" w:rsidRPr="001039FB" w:rsidRDefault="000F0F25" w:rsidP="00903FAE">
      <w:pPr>
        <w:autoSpaceDE w:val="0"/>
        <w:autoSpaceDN w:val="0"/>
        <w:adjustRightInd w:val="0"/>
        <w:spacing w:after="0" w:line="240" w:lineRule="auto"/>
        <w:jc w:val="both"/>
        <w:rPr>
          <w:rFonts w:ascii="Book Antiqua" w:hAnsi="Book Antiqua" w:cstheme="majorBidi"/>
          <w:b/>
          <w:bCs/>
          <w:sz w:val="24"/>
          <w:szCs w:val="24"/>
        </w:rPr>
      </w:pPr>
    </w:p>
    <w:p w:rsidR="00BD642F" w:rsidRPr="001039FB" w:rsidRDefault="003460A7" w:rsidP="00A71982">
      <w:pPr>
        <w:autoSpaceDE w:val="0"/>
        <w:autoSpaceDN w:val="0"/>
        <w:adjustRightInd w:val="0"/>
        <w:spacing w:after="0" w:line="240" w:lineRule="auto"/>
        <w:jc w:val="both"/>
        <w:rPr>
          <w:rFonts w:ascii="Book Antiqua" w:hAnsi="Book Antiqua" w:cstheme="majorBidi"/>
          <w:sz w:val="24"/>
          <w:szCs w:val="24"/>
        </w:rPr>
      </w:pPr>
      <w:r w:rsidRPr="001039FB">
        <w:rPr>
          <w:rFonts w:ascii="Book Antiqua" w:hAnsi="Book Antiqua" w:cstheme="majorBidi"/>
          <w:b/>
          <w:bCs/>
          <w:color w:val="4F81BD" w:themeColor="accent1"/>
          <w:sz w:val="24"/>
          <w:szCs w:val="24"/>
        </w:rPr>
        <w:t xml:space="preserve">Article </w:t>
      </w:r>
      <w:r w:rsidR="0061114F" w:rsidRPr="001039FB">
        <w:rPr>
          <w:rFonts w:ascii="Book Antiqua" w:hAnsi="Book Antiqua" w:cstheme="majorBidi"/>
          <w:b/>
          <w:bCs/>
          <w:color w:val="4F81BD" w:themeColor="accent1"/>
          <w:sz w:val="24"/>
          <w:szCs w:val="24"/>
        </w:rPr>
        <w:t>22</w:t>
      </w:r>
      <w:r w:rsidR="00F24056" w:rsidRPr="001039FB">
        <w:rPr>
          <w:rFonts w:ascii="Book Antiqua" w:hAnsi="Book Antiqua" w:cstheme="majorBidi"/>
          <w:b/>
          <w:bCs/>
          <w:color w:val="4F81BD" w:themeColor="accent1"/>
          <w:sz w:val="24"/>
          <w:szCs w:val="24"/>
        </w:rPr>
        <w:t>:</w:t>
      </w:r>
      <w:r w:rsidR="007C148F" w:rsidRPr="001039FB">
        <w:rPr>
          <w:rFonts w:ascii="Book Antiqua" w:hAnsi="Book Antiqua"/>
          <w:sz w:val="24"/>
          <w:szCs w:val="24"/>
        </w:rPr>
        <w:t xml:space="preserve">Le </w:t>
      </w:r>
      <w:r w:rsidR="00DD6D2B" w:rsidRPr="001039FB">
        <w:rPr>
          <w:rFonts w:ascii="Book Antiqua" w:hAnsi="Book Antiqua"/>
          <w:sz w:val="24"/>
          <w:szCs w:val="24"/>
        </w:rPr>
        <w:t xml:space="preserve">docteur lauréat </w:t>
      </w:r>
      <w:r w:rsidR="007C148F" w:rsidRPr="001039FB">
        <w:rPr>
          <w:rFonts w:ascii="Book Antiqua" w:hAnsi="Book Antiqua"/>
          <w:sz w:val="24"/>
          <w:szCs w:val="24"/>
        </w:rPr>
        <w:t xml:space="preserve">est tenu d’informer le </w:t>
      </w:r>
      <w:r w:rsidR="00F24056" w:rsidRPr="001039FB">
        <w:rPr>
          <w:rFonts w:ascii="Book Antiqua" w:hAnsi="Book Antiqua"/>
          <w:sz w:val="24"/>
          <w:szCs w:val="24"/>
        </w:rPr>
        <w:t>CED</w:t>
      </w:r>
      <w:r w:rsidR="00E37199">
        <w:rPr>
          <w:rFonts w:ascii="Book Antiqua" w:hAnsi="Book Antiqua"/>
          <w:sz w:val="24"/>
          <w:szCs w:val="24"/>
        </w:rPr>
        <w:t xml:space="preserve"> </w:t>
      </w:r>
      <w:r w:rsidR="007C148F" w:rsidRPr="001039FB">
        <w:rPr>
          <w:rFonts w:ascii="Book Antiqua" w:hAnsi="Book Antiqua"/>
          <w:sz w:val="24"/>
          <w:szCs w:val="24"/>
        </w:rPr>
        <w:t>de sa situation durant une</w:t>
      </w:r>
      <w:r w:rsidR="00E37199">
        <w:rPr>
          <w:rFonts w:ascii="Book Antiqua" w:hAnsi="Book Antiqua"/>
          <w:sz w:val="24"/>
          <w:szCs w:val="24"/>
        </w:rPr>
        <w:t xml:space="preserve"> </w:t>
      </w:r>
      <w:r w:rsidR="007C148F" w:rsidRPr="001039FB">
        <w:rPr>
          <w:rFonts w:ascii="Book Antiqua" w:hAnsi="Book Antiqua"/>
          <w:sz w:val="24"/>
          <w:szCs w:val="24"/>
        </w:rPr>
        <w:t xml:space="preserve">période de </w:t>
      </w:r>
      <w:r w:rsidR="00F24056" w:rsidRPr="001039FB">
        <w:rPr>
          <w:rFonts w:ascii="Book Antiqua" w:hAnsi="Book Antiqua"/>
          <w:sz w:val="24"/>
          <w:szCs w:val="24"/>
        </w:rPr>
        <w:t>trois années au moins</w:t>
      </w:r>
      <w:r w:rsidR="007C148F" w:rsidRPr="001039FB">
        <w:rPr>
          <w:rFonts w:ascii="Book Antiqua" w:hAnsi="Book Antiqua"/>
          <w:sz w:val="24"/>
          <w:szCs w:val="24"/>
        </w:rPr>
        <w:t xml:space="preserve"> après la soutenance de sa thèse.</w:t>
      </w:r>
    </w:p>
    <w:p w:rsidR="0070092D" w:rsidRDefault="0070092D" w:rsidP="00565295">
      <w:pPr>
        <w:autoSpaceDE w:val="0"/>
        <w:autoSpaceDN w:val="0"/>
        <w:adjustRightInd w:val="0"/>
        <w:spacing w:after="0" w:line="240" w:lineRule="auto"/>
        <w:jc w:val="both"/>
        <w:rPr>
          <w:rFonts w:ascii="Book Antiqua" w:hAnsi="Book Antiqua"/>
          <w:b/>
          <w:bCs/>
          <w:color w:val="4F81BD" w:themeColor="accent1"/>
          <w:sz w:val="24"/>
          <w:szCs w:val="24"/>
        </w:rPr>
      </w:pPr>
    </w:p>
    <w:p w:rsidR="001347E7" w:rsidRPr="001039FB" w:rsidRDefault="008A34E4" w:rsidP="00565295">
      <w:pPr>
        <w:autoSpaceDE w:val="0"/>
        <w:autoSpaceDN w:val="0"/>
        <w:adjustRightInd w:val="0"/>
        <w:spacing w:after="0" w:line="240" w:lineRule="auto"/>
        <w:jc w:val="both"/>
        <w:rPr>
          <w:rFonts w:ascii="Book Antiqua" w:hAnsi="Book Antiqua"/>
          <w:sz w:val="24"/>
          <w:szCs w:val="24"/>
        </w:rPr>
      </w:pPr>
      <w:r w:rsidRPr="001039FB">
        <w:rPr>
          <w:rFonts w:ascii="Book Antiqua" w:hAnsi="Book Antiqua"/>
          <w:b/>
          <w:bCs/>
          <w:color w:val="4F81BD" w:themeColor="accent1"/>
          <w:sz w:val="24"/>
          <w:szCs w:val="24"/>
        </w:rPr>
        <w:t xml:space="preserve">Article </w:t>
      </w:r>
      <w:r w:rsidR="0061114F" w:rsidRPr="001039FB">
        <w:rPr>
          <w:rFonts w:ascii="Book Antiqua" w:hAnsi="Book Antiqua"/>
          <w:b/>
          <w:bCs/>
          <w:color w:val="4F81BD" w:themeColor="accent1"/>
          <w:sz w:val="24"/>
          <w:szCs w:val="24"/>
        </w:rPr>
        <w:t xml:space="preserve">23 </w:t>
      </w:r>
      <w:r w:rsidRPr="001039FB">
        <w:rPr>
          <w:rFonts w:ascii="Book Antiqua" w:hAnsi="Book Antiqua"/>
          <w:b/>
          <w:bCs/>
          <w:color w:val="4F81BD" w:themeColor="accent1"/>
          <w:sz w:val="24"/>
          <w:szCs w:val="24"/>
        </w:rPr>
        <w:t>:</w:t>
      </w:r>
      <w:r w:rsidR="00051A7D" w:rsidRPr="001039FB">
        <w:rPr>
          <w:rFonts w:ascii="Book Antiqua" w:hAnsi="Book Antiqua"/>
          <w:sz w:val="24"/>
          <w:szCs w:val="24"/>
        </w:rPr>
        <w:t>La</w:t>
      </w:r>
      <w:r w:rsidR="00E37199">
        <w:rPr>
          <w:rFonts w:ascii="Book Antiqua" w:hAnsi="Book Antiqua"/>
          <w:sz w:val="24"/>
          <w:szCs w:val="24"/>
        </w:rPr>
        <w:t xml:space="preserve"> </w:t>
      </w:r>
      <w:r w:rsidR="00B63A65" w:rsidRPr="001039FB">
        <w:rPr>
          <w:rFonts w:ascii="Book Antiqua" w:hAnsi="Book Antiqua"/>
          <w:sz w:val="24"/>
          <w:szCs w:val="24"/>
        </w:rPr>
        <w:t xml:space="preserve">présente </w:t>
      </w:r>
      <w:r w:rsidRPr="001039FB">
        <w:rPr>
          <w:rFonts w:ascii="Book Antiqua" w:hAnsi="Book Antiqua"/>
          <w:sz w:val="24"/>
          <w:szCs w:val="24"/>
        </w:rPr>
        <w:t xml:space="preserve">Charte </w:t>
      </w:r>
      <w:r w:rsidR="00C616BC" w:rsidRPr="001039FB">
        <w:rPr>
          <w:rFonts w:ascii="Book Antiqua" w:hAnsi="Book Antiqua"/>
          <w:sz w:val="24"/>
          <w:szCs w:val="24"/>
        </w:rPr>
        <w:t>prendra effet après sa validation par le conseil de l’université Hassan II de Casablanca.</w:t>
      </w: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BE286E" w:rsidP="00BE286E">
      <w:pPr>
        <w:tabs>
          <w:tab w:val="left" w:pos="3916"/>
        </w:tabs>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ab/>
      </w: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sz w:val="24"/>
          <w:szCs w:val="24"/>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2F1AD2" w:rsidRPr="001039FB" w:rsidRDefault="002F1AD2" w:rsidP="00565295">
      <w:pPr>
        <w:autoSpaceDE w:val="0"/>
        <w:autoSpaceDN w:val="0"/>
        <w:adjustRightInd w:val="0"/>
        <w:spacing w:after="0" w:line="240" w:lineRule="auto"/>
        <w:jc w:val="both"/>
        <w:rPr>
          <w:rFonts w:ascii="Book Antiqua" w:hAnsi="Book Antiqua"/>
        </w:rPr>
      </w:pPr>
    </w:p>
    <w:p w:rsidR="0002776D" w:rsidRPr="001039FB" w:rsidRDefault="0002776D" w:rsidP="002D79B0">
      <w:pPr>
        <w:spacing w:before="240" w:line="240" w:lineRule="auto"/>
        <w:jc w:val="center"/>
        <w:rPr>
          <w:rFonts w:ascii="Book Antiqua" w:eastAsia="Times New Roman" w:hAnsi="Book Antiqua" w:cs="Times New Roman"/>
          <w:b/>
          <w:bCs/>
          <w:color w:val="000000"/>
          <w:sz w:val="32"/>
          <w:szCs w:val="32"/>
          <w:lang w:val="fr-MA" w:eastAsia="fr-MA"/>
        </w:rPr>
      </w:pPr>
      <w:r w:rsidRPr="001039FB">
        <w:rPr>
          <w:rFonts w:ascii="Book Antiqua" w:eastAsia="Times New Roman" w:hAnsi="Book Antiqua" w:cs="Times New Roman"/>
          <w:b/>
          <w:bCs/>
          <w:color w:val="000000"/>
          <w:sz w:val="32"/>
          <w:szCs w:val="32"/>
          <w:lang w:val="fr-MA" w:eastAsia="fr-MA"/>
        </w:rPr>
        <w:t xml:space="preserve">Engagement du doctorant </w:t>
      </w:r>
    </w:p>
    <w:p w:rsidR="002D79B0" w:rsidRPr="001039FB" w:rsidRDefault="002D79B0" w:rsidP="002D79B0">
      <w:pPr>
        <w:spacing w:before="240" w:line="240" w:lineRule="auto"/>
        <w:jc w:val="center"/>
        <w:rPr>
          <w:rFonts w:ascii="Book Antiqua" w:eastAsia="Times New Roman" w:hAnsi="Book Antiqua" w:cs="Times New Roman"/>
          <w:sz w:val="24"/>
          <w:szCs w:val="24"/>
          <w:lang w:val="fr-MA" w:eastAsia="fr-MA"/>
        </w:rPr>
      </w:pPr>
      <w:r w:rsidRPr="001039FB">
        <w:rPr>
          <w:rFonts w:ascii="Book Antiqua" w:eastAsia="Times New Roman" w:hAnsi="Book Antiqua" w:cs="Times New Roman"/>
          <w:b/>
          <w:bCs/>
          <w:color w:val="000000"/>
          <w:sz w:val="32"/>
          <w:szCs w:val="32"/>
          <w:lang w:val="fr-MA" w:eastAsia="fr-MA"/>
        </w:rPr>
        <w:t xml:space="preserve">Université Hassan II </w:t>
      </w:r>
      <w:r w:rsidR="001039FB">
        <w:rPr>
          <w:rFonts w:ascii="Book Antiqua" w:eastAsia="Times New Roman" w:hAnsi="Book Antiqua" w:cs="Times New Roman"/>
          <w:b/>
          <w:bCs/>
          <w:color w:val="000000"/>
          <w:sz w:val="32"/>
          <w:szCs w:val="32"/>
          <w:lang w:val="fr-MA" w:eastAsia="fr-MA"/>
        </w:rPr>
        <w:t xml:space="preserve">de </w:t>
      </w:r>
      <w:r w:rsidRPr="001039FB">
        <w:rPr>
          <w:rFonts w:ascii="Book Antiqua" w:eastAsia="Times New Roman" w:hAnsi="Book Antiqua" w:cs="Times New Roman"/>
          <w:b/>
          <w:bCs/>
          <w:color w:val="000000"/>
          <w:sz w:val="32"/>
          <w:szCs w:val="32"/>
          <w:lang w:val="fr-MA" w:eastAsia="fr-MA"/>
        </w:rPr>
        <w:t>Casablanca</w:t>
      </w:r>
    </w:p>
    <w:p w:rsidR="0002776D" w:rsidRPr="001039FB" w:rsidRDefault="0002776D" w:rsidP="002D79B0">
      <w:pPr>
        <w:spacing w:line="240" w:lineRule="auto"/>
        <w:ind w:right="-482"/>
        <w:rPr>
          <w:rFonts w:ascii="Book Antiqua" w:eastAsia="Times New Roman" w:hAnsi="Book Antiqua" w:cs="Times New Roman"/>
          <w:b/>
          <w:bCs/>
          <w:color w:val="4472C4"/>
          <w:sz w:val="24"/>
          <w:szCs w:val="24"/>
          <w:lang w:val="fr-MA" w:eastAsia="fr-MA"/>
        </w:rPr>
      </w:pPr>
    </w:p>
    <w:p w:rsidR="002D79B0" w:rsidRPr="001039FB" w:rsidRDefault="002D79B0" w:rsidP="002D79B0">
      <w:pPr>
        <w:spacing w:line="240" w:lineRule="auto"/>
        <w:ind w:right="-482"/>
        <w:rPr>
          <w:rFonts w:ascii="Book Antiqua" w:eastAsia="Times New Roman" w:hAnsi="Book Antiqua" w:cs="Times New Roman"/>
          <w:sz w:val="24"/>
          <w:szCs w:val="24"/>
          <w:lang w:val="fr-MA" w:eastAsia="fr-MA"/>
        </w:rPr>
      </w:pPr>
      <w:r w:rsidRPr="001039FB">
        <w:rPr>
          <w:rFonts w:ascii="Book Antiqua" w:eastAsia="Times New Roman" w:hAnsi="Book Antiqua" w:cs="Times New Roman"/>
          <w:b/>
          <w:bCs/>
          <w:color w:val="4472C4"/>
          <w:sz w:val="24"/>
          <w:szCs w:val="24"/>
          <w:lang w:val="fr-MA" w:eastAsia="fr-MA"/>
        </w:rPr>
        <w:t>Etablissement : ……………………………………………………………………………………………...</w:t>
      </w:r>
    </w:p>
    <w:p w:rsidR="0002776D" w:rsidRPr="001039FB" w:rsidRDefault="0002776D" w:rsidP="002D79B0">
      <w:pPr>
        <w:spacing w:line="240" w:lineRule="auto"/>
        <w:ind w:right="-482"/>
        <w:rPr>
          <w:rFonts w:ascii="Book Antiqua" w:eastAsia="Times New Roman" w:hAnsi="Book Antiqua" w:cs="Times New Roman"/>
          <w:b/>
          <w:bCs/>
          <w:color w:val="4472C4"/>
          <w:sz w:val="24"/>
          <w:szCs w:val="24"/>
          <w:lang w:val="fr-MA" w:eastAsia="fr-MA"/>
        </w:rPr>
      </w:pPr>
    </w:p>
    <w:p w:rsidR="0002776D" w:rsidRPr="001039FB" w:rsidRDefault="002D79B0" w:rsidP="0002776D">
      <w:pPr>
        <w:spacing w:line="240" w:lineRule="auto"/>
        <w:ind w:right="-482"/>
        <w:rPr>
          <w:rFonts w:ascii="Book Antiqua" w:eastAsia="Times New Roman" w:hAnsi="Book Antiqua" w:cs="Times New Roman"/>
          <w:sz w:val="24"/>
          <w:szCs w:val="24"/>
          <w:lang w:val="fr-MA" w:eastAsia="fr-MA"/>
        </w:rPr>
      </w:pPr>
      <w:r w:rsidRPr="001039FB">
        <w:rPr>
          <w:rFonts w:ascii="Book Antiqua" w:eastAsia="Times New Roman" w:hAnsi="Book Antiqua" w:cs="Times New Roman"/>
          <w:b/>
          <w:bCs/>
          <w:color w:val="4472C4"/>
          <w:sz w:val="24"/>
          <w:szCs w:val="24"/>
          <w:lang w:val="fr-MA" w:eastAsia="fr-MA"/>
        </w:rPr>
        <w:t>Formation Doctorale …………………………………………………………………</w:t>
      </w:r>
    </w:p>
    <w:p w:rsidR="0002776D" w:rsidRPr="001039FB" w:rsidRDefault="0002776D" w:rsidP="002D79B0">
      <w:pPr>
        <w:spacing w:after="0" w:line="240" w:lineRule="auto"/>
        <w:rPr>
          <w:rFonts w:ascii="Book Antiqua" w:eastAsia="Times New Roman" w:hAnsi="Book Antiqua" w:cs="Times New Roman"/>
          <w:sz w:val="24"/>
          <w:szCs w:val="24"/>
          <w:lang w:val="fr-MA" w:eastAsia="fr-MA"/>
        </w:rPr>
      </w:pPr>
    </w:p>
    <w:p w:rsidR="005132F8" w:rsidRPr="001039FB" w:rsidRDefault="002D79B0" w:rsidP="002D79B0">
      <w:pPr>
        <w:spacing w:line="240" w:lineRule="auto"/>
        <w:ind w:left="-330" w:right="-482"/>
        <w:jc w:val="center"/>
        <w:rPr>
          <w:rFonts w:ascii="Book Antiqua" w:hAnsi="Book Antiqua" w:cstheme="majorBidi"/>
          <w:b/>
          <w:bCs/>
          <w:color w:val="000099"/>
          <w:sz w:val="24"/>
          <w:szCs w:val="24"/>
        </w:rPr>
      </w:pPr>
      <w:r w:rsidRPr="001039FB">
        <w:rPr>
          <w:rFonts w:ascii="Book Antiqua" w:eastAsia="Times New Roman" w:hAnsi="Book Antiqua" w:cs="Times New Roman"/>
          <w:b/>
          <w:bCs/>
          <w:color w:val="4472C4"/>
          <w:sz w:val="24"/>
          <w:szCs w:val="24"/>
          <w:lang w:val="fr-MA" w:eastAsia="fr-MA"/>
        </w:rPr>
        <w:t>Signatures :</w:t>
      </w:r>
    </w:p>
    <w:p w:rsidR="000F0F25" w:rsidRPr="001039FB" w:rsidRDefault="000F0F25" w:rsidP="00903FAE">
      <w:pPr>
        <w:autoSpaceDE w:val="0"/>
        <w:autoSpaceDN w:val="0"/>
        <w:adjustRightInd w:val="0"/>
        <w:spacing w:after="0" w:line="240" w:lineRule="auto"/>
        <w:jc w:val="both"/>
        <w:rPr>
          <w:rFonts w:ascii="Book Antiqua" w:hAnsi="Book Antiqua" w:cstheme="majorBidi"/>
          <w:sz w:val="24"/>
          <w:szCs w:val="24"/>
        </w:rPr>
      </w:pPr>
    </w:p>
    <w:tbl>
      <w:tblPr>
        <w:tblStyle w:val="Grilledutableau"/>
        <w:tblW w:w="0" w:type="auto"/>
        <w:tblLook w:val="04A0"/>
      </w:tblPr>
      <w:tblGrid>
        <w:gridCol w:w="4530"/>
        <w:gridCol w:w="4530"/>
      </w:tblGrid>
      <w:tr w:rsidR="0002776D" w:rsidRPr="001039FB" w:rsidTr="003A145D">
        <w:trPr>
          <w:trHeight w:val="3152"/>
        </w:trPr>
        <w:tc>
          <w:tcPr>
            <w:tcW w:w="4530" w:type="dxa"/>
          </w:tcPr>
          <w:p w:rsidR="0002776D" w:rsidRPr="001039FB" w:rsidRDefault="0002776D" w:rsidP="0002776D">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Le Doctorant.</w:t>
            </w:r>
            <w:r w:rsidR="003A145D">
              <w:rPr>
                <w:rFonts w:ascii="Book Antiqua" w:hAnsi="Book Antiqua" w:cstheme="majorBidi"/>
                <w:sz w:val="24"/>
                <w:szCs w:val="24"/>
              </w:rPr>
              <w:t xml:space="preserve"> </w:t>
            </w:r>
            <w:r w:rsidRPr="001039FB">
              <w:rPr>
                <w:rFonts w:ascii="Book Antiqua" w:hAnsi="Book Antiqua" w:cstheme="majorBidi"/>
                <w:sz w:val="24"/>
                <w:szCs w:val="24"/>
              </w:rPr>
              <w:t>(e)</w:t>
            </w:r>
            <w:r w:rsidRPr="001039FB">
              <w:rPr>
                <w:rFonts w:ascii="Book Antiqua" w:hAnsi="Book Antiqua" w:cstheme="majorBidi"/>
                <w:sz w:val="24"/>
                <w:szCs w:val="24"/>
              </w:rPr>
              <w:tab/>
            </w:r>
            <w:r w:rsidRPr="001039FB">
              <w:rPr>
                <w:rFonts w:ascii="Book Antiqua" w:hAnsi="Book Antiqua" w:cstheme="majorBidi"/>
                <w:sz w:val="24"/>
                <w:szCs w:val="24"/>
              </w:rPr>
              <w:tab/>
            </w:r>
            <w:r w:rsidRPr="001039FB">
              <w:rPr>
                <w:rFonts w:ascii="Book Antiqua" w:hAnsi="Book Antiqua" w:cstheme="majorBidi"/>
                <w:sz w:val="24"/>
                <w:szCs w:val="24"/>
              </w:rPr>
              <w:tab/>
            </w:r>
            <w:r w:rsidRPr="001039FB">
              <w:rPr>
                <w:rFonts w:ascii="Book Antiqua" w:hAnsi="Book Antiqua" w:cstheme="majorBidi"/>
                <w:sz w:val="24"/>
                <w:szCs w:val="24"/>
              </w:rPr>
              <w:tab/>
            </w:r>
          </w:p>
          <w:p w:rsidR="0002776D" w:rsidRPr="001039FB" w:rsidRDefault="0002776D" w:rsidP="0002776D">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(Lu et approuvé)</w:t>
            </w:r>
          </w:p>
          <w:p w:rsidR="0002776D" w:rsidRPr="001039FB" w:rsidRDefault="0002776D" w:rsidP="0002776D">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Nom et Prénom</w:t>
            </w:r>
          </w:p>
          <w:p w:rsidR="0002776D" w:rsidRDefault="0002776D" w:rsidP="0002776D">
            <w:pPr>
              <w:autoSpaceDE w:val="0"/>
              <w:autoSpaceDN w:val="0"/>
              <w:adjustRightInd w:val="0"/>
              <w:jc w:val="both"/>
              <w:rPr>
                <w:rFonts w:ascii="Book Antiqua" w:hAnsi="Book Antiqua" w:cstheme="majorBidi"/>
                <w:sz w:val="24"/>
                <w:szCs w:val="24"/>
              </w:rPr>
            </w:pPr>
          </w:p>
          <w:p w:rsidR="0070092D" w:rsidRDefault="0070092D" w:rsidP="0002776D">
            <w:pPr>
              <w:autoSpaceDE w:val="0"/>
              <w:autoSpaceDN w:val="0"/>
              <w:adjustRightInd w:val="0"/>
              <w:jc w:val="both"/>
              <w:rPr>
                <w:rFonts w:ascii="Book Antiqua" w:hAnsi="Book Antiqua" w:cstheme="majorBidi"/>
                <w:sz w:val="24"/>
                <w:szCs w:val="24"/>
              </w:rPr>
            </w:pPr>
          </w:p>
          <w:p w:rsidR="003A145D" w:rsidRDefault="003A145D" w:rsidP="0002776D">
            <w:pPr>
              <w:autoSpaceDE w:val="0"/>
              <w:autoSpaceDN w:val="0"/>
              <w:adjustRightInd w:val="0"/>
              <w:jc w:val="both"/>
              <w:rPr>
                <w:rFonts w:ascii="Book Antiqua" w:hAnsi="Book Antiqua" w:cstheme="majorBidi"/>
                <w:sz w:val="24"/>
                <w:szCs w:val="24"/>
              </w:rPr>
            </w:pPr>
          </w:p>
          <w:p w:rsidR="003A145D" w:rsidRDefault="003A145D" w:rsidP="0002776D">
            <w:pPr>
              <w:autoSpaceDE w:val="0"/>
              <w:autoSpaceDN w:val="0"/>
              <w:adjustRightInd w:val="0"/>
              <w:jc w:val="both"/>
              <w:rPr>
                <w:rFonts w:ascii="Book Antiqua" w:hAnsi="Book Antiqua" w:cstheme="majorBidi"/>
                <w:sz w:val="24"/>
                <w:szCs w:val="24"/>
              </w:rPr>
            </w:pPr>
          </w:p>
          <w:p w:rsidR="003A145D" w:rsidRDefault="003A145D" w:rsidP="0002776D">
            <w:pPr>
              <w:autoSpaceDE w:val="0"/>
              <w:autoSpaceDN w:val="0"/>
              <w:adjustRightInd w:val="0"/>
              <w:jc w:val="both"/>
              <w:rPr>
                <w:rFonts w:ascii="Book Antiqua" w:hAnsi="Book Antiqua" w:cstheme="majorBidi"/>
                <w:sz w:val="24"/>
                <w:szCs w:val="24"/>
              </w:rPr>
            </w:pPr>
          </w:p>
          <w:p w:rsidR="0070092D" w:rsidRDefault="0070092D" w:rsidP="0002776D">
            <w:pPr>
              <w:autoSpaceDE w:val="0"/>
              <w:autoSpaceDN w:val="0"/>
              <w:adjustRightInd w:val="0"/>
              <w:jc w:val="both"/>
              <w:rPr>
                <w:rFonts w:ascii="Book Antiqua" w:hAnsi="Book Antiqua" w:cstheme="majorBidi"/>
                <w:sz w:val="24"/>
                <w:szCs w:val="24"/>
              </w:rPr>
            </w:pPr>
          </w:p>
          <w:p w:rsidR="0002776D" w:rsidRPr="001039FB" w:rsidRDefault="0070092D" w:rsidP="003A145D">
            <w:pPr>
              <w:autoSpaceDE w:val="0"/>
              <w:autoSpaceDN w:val="0"/>
              <w:adjustRightInd w:val="0"/>
              <w:jc w:val="both"/>
              <w:rPr>
                <w:rFonts w:ascii="Book Antiqua" w:hAnsi="Book Antiqua" w:cstheme="majorBidi"/>
                <w:sz w:val="24"/>
                <w:szCs w:val="24"/>
              </w:rPr>
            </w:pPr>
            <w:r>
              <w:rPr>
                <w:rFonts w:ascii="Book Antiqua" w:hAnsi="Book Antiqua" w:cstheme="majorBidi"/>
                <w:sz w:val="24"/>
                <w:szCs w:val="24"/>
              </w:rPr>
              <w:t>Le</w:t>
            </w:r>
            <w:r w:rsidR="009B35FA">
              <w:rPr>
                <w:rFonts w:ascii="Book Antiqua" w:hAnsi="Book Antiqua" w:cstheme="majorBidi"/>
                <w:sz w:val="24"/>
                <w:szCs w:val="24"/>
              </w:rPr>
              <w:t> :</w:t>
            </w:r>
          </w:p>
        </w:tc>
        <w:tc>
          <w:tcPr>
            <w:tcW w:w="4530" w:type="dxa"/>
          </w:tcPr>
          <w:p w:rsidR="0002776D" w:rsidRPr="001039FB" w:rsidRDefault="0002776D" w:rsidP="00903FAE">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Le Directeur de thèse</w:t>
            </w:r>
          </w:p>
          <w:p w:rsidR="0002776D" w:rsidRPr="001039FB" w:rsidRDefault="0002776D" w:rsidP="00903FAE">
            <w:pPr>
              <w:autoSpaceDE w:val="0"/>
              <w:autoSpaceDN w:val="0"/>
              <w:adjustRightInd w:val="0"/>
              <w:jc w:val="both"/>
              <w:rPr>
                <w:rFonts w:ascii="Book Antiqua" w:hAnsi="Book Antiqua" w:cstheme="majorBidi"/>
                <w:sz w:val="24"/>
                <w:szCs w:val="24"/>
              </w:rPr>
            </w:pPr>
          </w:p>
          <w:p w:rsidR="0002776D" w:rsidRDefault="0002776D" w:rsidP="00903FAE">
            <w:pPr>
              <w:autoSpaceDE w:val="0"/>
              <w:autoSpaceDN w:val="0"/>
              <w:adjustRightInd w:val="0"/>
              <w:jc w:val="both"/>
              <w:rPr>
                <w:rFonts w:ascii="Book Antiqua" w:hAnsi="Book Antiqua" w:cstheme="majorBidi"/>
                <w:sz w:val="24"/>
                <w:szCs w:val="24"/>
              </w:rPr>
            </w:pPr>
          </w:p>
          <w:p w:rsidR="0070092D" w:rsidRDefault="0070092D" w:rsidP="00903FAE">
            <w:pPr>
              <w:autoSpaceDE w:val="0"/>
              <w:autoSpaceDN w:val="0"/>
              <w:adjustRightInd w:val="0"/>
              <w:jc w:val="both"/>
              <w:rPr>
                <w:rFonts w:ascii="Book Antiqua" w:hAnsi="Book Antiqua" w:cstheme="majorBidi"/>
                <w:sz w:val="24"/>
                <w:szCs w:val="24"/>
              </w:rPr>
            </w:pPr>
          </w:p>
          <w:p w:rsidR="0070092D" w:rsidRPr="001039FB" w:rsidRDefault="0070092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p>
          <w:p w:rsidR="003A145D" w:rsidRDefault="003A145D" w:rsidP="00903FAE">
            <w:pPr>
              <w:autoSpaceDE w:val="0"/>
              <w:autoSpaceDN w:val="0"/>
              <w:adjustRightInd w:val="0"/>
              <w:jc w:val="both"/>
              <w:rPr>
                <w:rFonts w:ascii="Book Antiqua" w:hAnsi="Book Antiqua" w:cstheme="majorBidi"/>
                <w:sz w:val="24"/>
                <w:szCs w:val="24"/>
              </w:rPr>
            </w:pPr>
          </w:p>
          <w:p w:rsidR="003A145D" w:rsidRDefault="003A145D" w:rsidP="00903FAE">
            <w:pPr>
              <w:autoSpaceDE w:val="0"/>
              <w:autoSpaceDN w:val="0"/>
              <w:adjustRightInd w:val="0"/>
              <w:jc w:val="both"/>
              <w:rPr>
                <w:rFonts w:ascii="Book Antiqua" w:hAnsi="Book Antiqua" w:cstheme="majorBidi"/>
                <w:sz w:val="24"/>
                <w:szCs w:val="24"/>
              </w:rPr>
            </w:pPr>
          </w:p>
          <w:p w:rsidR="003A145D" w:rsidRDefault="003A145D" w:rsidP="00903FAE">
            <w:pPr>
              <w:autoSpaceDE w:val="0"/>
              <w:autoSpaceDN w:val="0"/>
              <w:adjustRightInd w:val="0"/>
              <w:jc w:val="both"/>
              <w:rPr>
                <w:rFonts w:ascii="Book Antiqua" w:hAnsi="Book Antiqua" w:cstheme="majorBidi"/>
                <w:sz w:val="24"/>
                <w:szCs w:val="24"/>
              </w:rPr>
            </w:pPr>
          </w:p>
          <w:p w:rsidR="0002776D" w:rsidRPr="001039FB" w:rsidRDefault="0002776D" w:rsidP="003A145D">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 xml:space="preserve">Le : </w:t>
            </w:r>
          </w:p>
        </w:tc>
      </w:tr>
      <w:tr w:rsidR="0002776D" w:rsidRPr="001039FB" w:rsidTr="0002776D">
        <w:tc>
          <w:tcPr>
            <w:tcW w:w="4530" w:type="dxa"/>
          </w:tcPr>
          <w:p w:rsidR="0002776D" w:rsidRPr="001039FB" w:rsidRDefault="0002776D" w:rsidP="0002776D">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 xml:space="preserve">Directeur du       </w:t>
            </w:r>
            <w:r w:rsidRPr="001039FB">
              <w:rPr>
                <w:rFonts w:ascii="Book Antiqua" w:hAnsi="Book Antiqua" w:cstheme="majorBidi"/>
                <w:sz w:val="24"/>
                <w:szCs w:val="24"/>
              </w:rPr>
              <w:tab/>
            </w:r>
            <w:r w:rsidRPr="001039FB">
              <w:rPr>
                <w:rFonts w:ascii="Book Antiqua" w:hAnsi="Book Antiqua" w:cstheme="majorBidi"/>
                <w:sz w:val="24"/>
                <w:szCs w:val="24"/>
              </w:rPr>
              <w:tab/>
            </w:r>
          </w:p>
          <w:p w:rsidR="0002776D" w:rsidRPr="001039FB" w:rsidRDefault="0002776D" w:rsidP="0002776D">
            <w:pPr>
              <w:jc w:val="both"/>
              <w:rPr>
                <w:rFonts w:ascii="Book Antiqua" w:hAnsi="Book Antiqua" w:cstheme="majorBidi"/>
                <w:sz w:val="24"/>
                <w:szCs w:val="24"/>
              </w:rPr>
            </w:pPr>
            <w:r w:rsidRPr="001039FB">
              <w:rPr>
                <w:rFonts w:ascii="Book Antiqua" w:hAnsi="Book Antiqua" w:cstheme="majorBidi"/>
                <w:sz w:val="24"/>
                <w:szCs w:val="24"/>
              </w:rPr>
              <w:t>Laboratoire d’accueil</w:t>
            </w: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p>
          <w:p w:rsidR="0002776D" w:rsidRPr="001039FB" w:rsidRDefault="0002776D" w:rsidP="0002776D">
            <w:pPr>
              <w:jc w:val="both"/>
              <w:rPr>
                <w:rFonts w:ascii="Book Antiqua" w:hAnsi="Book Antiqua" w:cstheme="majorBidi"/>
                <w:sz w:val="24"/>
                <w:szCs w:val="24"/>
              </w:rPr>
            </w:pPr>
          </w:p>
          <w:p w:rsidR="003A145D" w:rsidRDefault="003A145D" w:rsidP="0002776D">
            <w:pPr>
              <w:jc w:val="both"/>
              <w:rPr>
                <w:rFonts w:ascii="Book Antiqua" w:hAnsi="Book Antiqua" w:cstheme="majorBidi"/>
                <w:sz w:val="24"/>
                <w:szCs w:val="24"/>
              </w:rPr>
            </w:pPr>
          </w:p>
          <w:p w:rsidR="003A145D" w:rsidRDefault="003A145D" w:rsidP="0002776D">
            <w:pPr>
              <w:jc w:val="both"/>
              <w:rPr>
                <w:rFonts w:ascii="Book Antiqua" w:hAnsi="Book Antiqua" w:cstheme="majorBidi"/>
                <w:sz w:val="24"/>
                <w:szCs w:val="24"/>
              </w:rPr>
            </w:pPr>
          </w:p>
          <w:p w:rsidR="003A145D" w:rsidRDefault="003A145D" w:rsidP="0002776D">
            <w:pPr>
              <w:jc w:val="both"/>
              <w:rPr>
                <w:rFonts w:ascii="Book Antiqua" w:hAnsi="Book Antiqua" w:cstheme="majorBidi"/>
                <w:sz w:val="24"/>
                <w:szCs w:val="24"/>
              </w:rPr>
            </w:pPr>
          </w:p>
          <w:p w:rsidR="0002776D" w:rsidRPr="001039FB" w:rsidRDefault="0002776D" w:rsidP="003A145D">
            <w:pPr>
              <w:jc w:val="both"/>
              <w:rPr>
                <w:rFonts w:ascii="Book Antiqua" w:hAnsi="Book Antiqua" w:cstheme="majorBidi"/>
                <w:sz w:val="24"/>
                <w:szCs w:val="24"/>
              </w:rPr>
            </w:pPr>
            <w:r w:rsidRPr="001039FB">
              <w:rPr>
                <w:rFonts w:ascii="Book Antiqua" w:hAnsi="Book Antiqua" w:cstheme="majorBidi"/>
                <w:sz w:val="24"/>
                <w:szCs w:val="24"/>
              </w:rPr>
              <w:t>Le :</w:t>
            </w:r>
          </w:p>
        </w:tc>
        <w:tc>
          <w:tcPr>
            <w:tcW w:w="4530" w:type="dxa"/>
          </w:tcPr>
          <w:p w:rsidR="0002776D" w:rsidRPr="001039FB" w:rsidRDefault="006604B7" w:rsidP="00903FAE">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Directeur du CEDOC</w:t>
            </w:r>
          </w:p>
          <w:p w:rsidR="0002776D" w:rsidRPr="001039FB" w:rsidRDefault="0002776D" w:rsidP="00903FAE">
            <w:pPr>
              <w:autoSpaceDE w:val="0"/>
              <w:autoSpaceDN w:val="0"/>
              <w:adjustRightInd w:val="0"/>
              <w:jc w:val="both"/>
              <w:rPr>
                <w:rFonts w:ascii="Book Antiqua" w:hAnsi="Book Antiqua" w:cstheme="majorBidi"/>
                <w:sz w:val="24"/>
                <w:szCs w:val="24"/>
              </w:rPr>
            </w:pPr>
          </w:p>
          <w:p w:rsidR="0002776D" w:rsidRDefault="0002776D" w:rsidP="00903FAE">
            <w:pPr>
              <w:autoSpaceDE w:val="0"/>
              <w:autoSpaceDN w:val="0"/>
              <w:adjustRightInd w:val="0"/>
              <w:jc w:val="both"/>
              <w:rPr>
                <w:rFonts w:ascii="Book Antiqua" w:hAnsi="Book Antiqua" w:cstheme="majorBidi"/>
                <w:sz w:val="24"/>
                <w:szCs w:val="24"/>
              </w:rPr>
            </w:pPr>
          </w:p>
          <w:p w:rsidR="0070092D" w:rsidRDefault="0070092D" w:rsidP="00903FAE">
            <w:pPr>
              <w:autoSpaceDE w:val="0"/>
              <w:autoSpaceDN w:val="0"/>
              <w:adjustRightInd w:val="0"/>
              <w:jc w:val="both"/>
              <w:rPr>
                <w:rFonts w:ascii="Book Antiqua" w:hAnsi="Book Antiqua" w:cstheme="majorBidi"/>
                <w:sz w:val="24"/>
                <w:szCs w:val="24"/>
              </w:rPr>
            </w:pPr>
          </w:p>
          <w:p w:rsidR="0070092D" w:rsidRPr="001039FB" w:rsidRDefault="0070092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p>
          <w:p w:rsidR="003A145D" w:rsidRDefault="003A145D" w:rsidP="00903FAE">
            <w:pPr>
              <w:autoSpaceDE w:val="0"/>
              <w:autoSpaceDN w:val="0"/>
              <w:adjustRightInd w:val="0"/>
              <w:jc w:val="both"/>
              <w:rPr>
                <w:rFonts w:ascii="Book Antiqua" w:hAnsi="Book Antiqua" w:cstheme="majorBidi"/>
                <w:sz w:val="24"/>
                <w:szCs w:val="24"/>
              </w:rPr>
            </w:pPr>
          </w:p>
          <w:p w:rsidR="003A145D" w:rsidRDefault="003A145D" w:rsidP="00903FAE">
            <w:pPr>
              <w:autoSpaceDE w:val="0"/>
              <w:autoSpaceDN w:val="0"/>
              <w:adjustRightInd w:val="0"/>
              <w:jc w:val="both"/>
              <w:rPr>
                <w:rFonts w:ascii="Book Antiqua" w:hAnsi="Book Antiqua" w:cstheme="majorBidi"/>
                <w:sz w:val="24"/>
                <w:szCs w:val="24"/>
              </w:rPr>
            </w:pPr>
          </w:p>
          <w:p w:rsidR="003A145D" w:rsidRDefault="003A145D" w:rsidP="00903FAE">
            <w:pPr>
              <w:autoSpaceDE w:val="0"/>
              <w:autoSpaceDN w:val="0"/>
              <w:adjustRightInd w:val="0"/>
              <w:jc w:val="both"/>
              <w:rPr>
                <w:rFonts w:ascii="Book Antiqua" w:hAnsi="Book Antiqua" w:cstheme="majorBidi"/>
                <w:sz w:val="24"/>
                <w:szCs w:val="24"/>
              </w:rPr>
            </w:pPr>
          </w:p>
          <w:p w:rsidR="0002776D" w:rsidRPr="001039FB" w:rsidRDefault="0002776D" w:rsidP="00903FAE">
            <w:pPr>
              <w:autoSpaceDE w:val="0"/>
              <w:autoSpaceDN w:val="0"/>
              <w:adjustRightInd w:val="0"/>
              <w:jc w:val="both"/>
              <w:rPr>
                <w:rFonts w:ascii="Book Antiqua" w:hAnsi="Book Antiqua" w:cstheme="majorBidi"/>
                <w:sz w:val="24"/>
                <w:szCs w:val="24"/>
              </w:rPr>
            </w:pPr>
            <w:r w:rsidRPr="001039FB">
              <w:rPr>
                <w:rFonts w:ascii="Book Antiqua" w:hAnsi="Book Antiqua" w:cstheme="majorBidi"/>
                <w:sz w:val="24"/>
                <w:szCs w:val="24"/>
              </w:rPr>
              <w:t>Le :</w:t>
            </w:r>
          </w:p>
        </w:tc>
      </w:tr>
    </w:tbl>
    <w:p w:rsidR="0002776D" w:rsidRPr="001039FB" w:rsidRDefault="0002776D" w:rsidP="00903FAE">
      <w:pPr>
        <w:autoSpaceDE w:val="0"/>
        <w:autoSpaceDN w:val="0"/>
        <w:adjustRightInd w:val="0"/>
        <w:spacing w:after="0" w:line="240" w:lineRule="auto"/>
        <w:jc w:val="both"/>
        <w:rPr>
          <w:rFonts w:ascii="Book Antiqua" w:hAnsi="Book Antiqua" w:cstheme="majorBidi"/>
          <w:sz w:val="24"/>
          <w:szCs w:val="24"/>
        </w:rPr>
      </w:pPr>
    </w:p>
    <w:p w:rsidR="0002776D" w:rsidRPr="001039FB" w:rsidRDefault="0002776D" w:rsidP="00903FAE">
      <w:pPr>
        <w:autoSpaceDE w:val="0"/>
        <w:autoSpaceDN w:val="0"/>
        <w:adjustRightInd w:val="0"/>
        <w:spacing w:after="0" w:line="240" w:lineRule="auto"/>
        <w:jc w:val="both"/>
        <w:rPr>
          <w:rFonts w:ascii="Book Antiqua" w:hAnsi="Book Antiqua" w:cstheme="majorBidi"/>
          <w:sz w:val="24"/>
          <w:szCs w:val="24"/>
        </w:rPr>
      </w:pPr>
    </w:p>
    <w:p w:rsidR="0002776D" w:rsidRPr="001039FB" w:rsidRDefault="0002776D" w:rsidP="00903FAE">
      <w:pPr>
        <w:spacing w:line="240" w:lineRule="auto"/>
        <w:jc w:val="both"/>
        <w:rPr>
          <w:rFonts w:ascii="Book Antiqua" w:hAnsi="Book Antiqua" w:cstheme="majorBidi"/>
          <w:color w:val="FF0000"/>
          <w:sz w:val="24"/>
          <w:szCs w:val="24"/>
        </w:rPr>
      </w:pPr>
    </w:p>
    <w:p w:rsidR="0002776D" w:rsidRDefault="0002776D" w:rsidP="00903FAE">
      <w:pPr>
        <w:spacing w:line="240" w:lineRule="auto"/>
        <w:jc w:val="both"/>
        <w:rPr>
          <w:rFonts w:ascii="Book Antiqua" w:hAnsi="Book Antiqua" w:cstheme="majorBidi"/>
          <w:color w:val="FF0000"/>
          <w:sz w:val="24"/>
          <w:szCs w:val="24"/>
        </w:rPr>
      </w:pPr>
    </w:p>
    <w:p w:rsidR="003A145D" w:rsidRDefault="003A145D" w:rsidP="00903FAE">
      <w:pPr>
        <w:spacing w:line="240" w:lineRule="auto"/>
        <w:jc w:val="both"/>
        <w:rPr>
          <w:rFonts w:ascii="Book Antiqua" w:hAnsi="Book Antiqua" w:cstheme="majorBidi"/>
          <w:color w:val="FF0000"/>
          <w:sz w:val="24"/>
          <w:szCs w:val="24"/>
        </w:rPr>
      </w:pPr>
    </w:p>
    <w:p w:rsidR="003A145D" w:rsidRPr="001039FB" w:rsidRDefault="003A145D" w:rsidP="00903FAE">
      <w:pPr>
        <w:spacing w:line="240" w:lineRule="auto"/>
        <w:jc w:val="both"/>
        <w:rPr>
          <w:rFonts w:ascii="Book Antiqua" w:hAnsi="Book Antiqua" w:cstheme="majorBidi"/>
          <w:color w:val="FF0000"/>
          <w:sz w:val="24"/>
          <w:szCs w:val="24"/>
        </w:rPr>
      </w:pPr>
    </w:p>
    <w:p w:rsidR="00AA4799" w:rsidRPr="001039FB" w:rsidRDefault="005132F8" w:rsidP="00A20379">
      <w:pPr>
        <w:spacing w:after="0" w:line="240" w:lineRule="auto"/>
        <w:jc w:val="center"/>
        <w:rPr>
          <w:rFonts w:ascii="Book Antiqua" w:hAnsi="Book Antiqua" w:cstheme="majorBidi"/>
          <w:b/>
          <w:bCs/>
          <w:i/>
          <w:iCs/>
          <w:color w:val="4F81BD" w:themeColor="accent1"/>
          <w:sz w:val="24"/>
          <w:szCs w:val="24"/>
        </w:rPr>
      </w:pPr>
      <w:r w:rsidRPr="001039FB">
        <w:rPr>
          <w:rFonts w:ascii="Book Antiqua" w:hAnsi="Book Antiqua" w:cstheme="majorBidi"/>
          <w:b/>
          <w:bCs/>
          <w:i/>
          <w:iCs/>
          <w:color w:val="4F81BD" w:themeColor="accent1"/>
          <w:sz w:val="24"/>
          <w:szCs w:val="24"/>
        </w:rPr>
        <w:t>Toutes les pages doivent être paraphées par les signataires</w:t>
      </w:r>
    </w:p>
    <w:sectPr w:rsidR="00AA4799" w:rsidRPr="001039FB" w:rsidSect="00A20379">
      <w:headerReference w:type="even" r:id="rId9"/>
      <w:headerReference w:type="default" r:id="rId10"/>
      <w:footerReference w:type="even" r:id="rId11"/>
      <w:footerReference w:type="default" r:id="rId12"/>
      <w:headerReference w:type="first" r:id="rId13"/>
      <w:footerReference w:type="first" r:id="rId14"/>
      <w:pgSz w:w="11906" w:h="16838"/>
      <w:pgMar w:top="1021"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40" w:rsidRDefault="008C5440" w:rsidP="00DD7813">
      <w:pPr>
        <w:spacing w:after="0" w:line="240" w:lineRule="auto"/>
      </w:pPr>
      <w:r>
        <w:separator/>
      </w:r>
    </w:p>
  </w:endnote>
  <w:endnote w:type="continuationSeparator" w:id="1">
    <w:p w:rsidR="008C5440" w:rsidRDefault="008C5440" w:rsidP="00DD7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AE" w:rsidRDefault="00903FAE">
    <w:pPr>
      <w:pStyle w:val="Pieddepage"/>
    </w:pPr>
  </w:p>
  <w:p w:rsidR="00903FAE" w:rsidRDefault="0005728B" w:rsidP="00AB3E02">
    <w:pPr>
      <w:pStyle w:val="Pieddepage"/>
      <w:pBdr>
        <w:top w:val="thinThickSmallGap" w:sz="24" w:space="1" w:color="622423" w:themeColor="accent2" w:themeShade="7F"/>
      </w:pBdr>
      <w:jc w:val="right"/>
      <w:rPr>
        <w:rFonts w:asciiTheme="majorHAnsi" w:hAnsiTheme="majorHAnsi"/>
      </w:rPr>
    </w:pPr>
    <w:r w:rsidRPr="0005728B">
      <w:fldChar w:fldCharType="begin"/>
    </w:r>
    <w:r w:rsidR="00903FAE">
      <w:instrText xml:space="preserve"> PAGE   \* MERGEFORMAT </w:instrText>
    </w:r>
    <w:r w:rsidRPr="0005728B">
      <w:fldChar w:fldCharType="separate"/>
    </w:r>
    <w:r w:rsidR="003A145D" w:rsidRPr="003A145D">
      <w:rPr>
        <w:rFonts w:asciiTheme="majorHAnsi" w:hAnsiTheme="majorHAnsi"/>
        <w:noProof/>
      </w:rPr>
      <w:t>8</w:t>
    </w:r>
    <w:r>
      <w:rPr>
        <w:rFonts w:asciiTheme="majorHAnsi" w:hAnsiTheme="majorHAnsi"/>
        <w:noProof/>
      </w:rPr>
      <w:fldChar w:fldCharType="end"/>
    </w:r>
    <w:r w:rsidR="00903FAE">
      <w:t>/</w:t>
    </w:r>
    <w:r w:rsidR="001039FB">
      <w:t>8</w:t>
    </w:r>
  </w:p>
  <w:p w:rsidR="00903FAE" w:rsidRDefault="00903FA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40" w:rsidRDefault="008C5440" w:rsidP="00DD7813">
      <w:pPr>
        <w:spacing w:after="0" w:line="240" w:lineRule="auto"/>
      </w:pPr>
      <w:r>
        <w:separator/>
      </w:r>
    </w:p>
  </w:footnote>
  <w:footnote w:type="continuationSeparator" w:id="1">
    <w:p w:rsidR="008C5440" w:rsidRDefault="008C5440" w:rsidP="00DD7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6" w:rsidRDefault="00F00F3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5C22"/>
    <w:multiLevelType w:val="hybridMultilevel"/>
    <w:tmpl w:val="BE9281AA"/>
    <w:lvl w:ilvl="0" w:tplc="EEBA059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B0301"/>
    <w:multiLevelType w:val="hybridMultilevel"/>
    <w:tmpl w:val="A124816A"/>
    <w:lvl w:ilvl="0" w:tplc="EEBA0596">
      <w:start w:val="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FBD68EF"/>
    <w:multiLevelType w:val="hybridMultilevel"/>
    <w:tmpl w:val="5166411C"/>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nsid w:val="14564E5C"/>
    <w:multiLevelType w:val="hybridMultilevel"/>
    <w:tmpl w:val="E3783104"/>
    <w:lvl w:ilvl="0" w:tplc="D74639EC">
      <w:start w:val="1"/>
      <w:numFmt w:val="bullet"/>
      <w:lvlText w:val=""/>
      <w:lvlJc w:val="left"/>
      <w:pPr>
        <w:tabs>
          <w:tab w:val="num" w:pos="720"/>
        </w:tabs>
        <w:ind w:left="720" w:hanging="360"/>
      </w:pPr>
      <w:rPr>
        <w:rFonts w:ascii="Wingdings" w:hAnsi="Wingdings" w:hint="default"/>
      </w:rPr>
    </w:lvl>
    <w:lvl w:ilvl="1" w:tplc="9E76AD34" w:tentative="1">
      <w:start w:val="1"/>
      <w:numFmt w:val="bullet"/>
      <w:lvlText w:val=""/>
      <w:lvlJc w:val="left"/>
      <w:pPr>
        <w:tabs>
          <w:tab w:val="num" w:pos="1440"/>
        </w:tabs>
        <w:ind w:left="1440" w:hanging="360"/>
      </w:pPr>
      <w:rPr>
        <w:rFonts w:ascii="Wingdings" w:hAnsi="Wingdings" w:hint="default"/>
      </w:rPr>
    </w:lvl>
    <w:lvl w:ilvl="2" w:tplc="4CA0187C" w:tentative="1">
      <w:start w:val="1"/>
      <w:numFmt w:val="bullet"/>
      <w:lvlText w:val=""/>
      <w:lvlJc w:val="left"/>
      <w:pPr>
        <w:tabs>
          <w:tab w:val="num" w:pos="2160"/>
        </w:tabs>
        <w:ind w:left="2160" w:hanging="360"/>
      </w:pPr>
      <w:rPr>
        <w:rFonts w:ascii="Wingdings" w:hAnsi="Wingdings" w:hint="default"/>
      </w:rPr>
    </w:lvl>
    <w:lvl w:ilvl="3" w:tplc="8C344416" w:tentative="1">
      <w:start w:val="1"/>
      <w:numFmt w:val="bullet"/>
      <w:lvlText w:val=""/>
      <w:lvlJc w:val="left"/>
      <w:pPr>
        <w:tabs>
          <w:tab w:val="num" w:pos="2880"/>
        </w:tabs>
        <w:ind w:left="2880" w:hanging="360"/>
      </w:pPr>
      <w:rPr>
        <w:rFonts w:ascii="Wingdings" w:hAnsi="Wingdings" w:hint="default"/>
      </w:rPr>
    </w:lvl>
    <w:lvl w:ilvl="4" w:tplc="521A2890" w:tentative="1">
      <w:start w:val="1"/>
      <w:numFmt w:val="bullet"/>
      <w:lvlText w:val=""/>
      <w:lvlJc w:val="left"/>
      <w:pPr>
        <w:tabs>
          <w:tab w:val="num" w:pos="3600"/>
        </w:tabs>
        <w:ind w:left="3600" w:hanging="360"/>
      </w:pPr>
      <w:rPr>
        <w:rFonts w:ascii="Wingdings" w:hAnsi="Wingdings" w:hint="default"/>
      </w:rPr>
    </w:lvl>
    <w:lvl w:ilvl="5" w:tplc="85348C1A" w:tentative="1">
      <w:start w:val="1"/>
      <w:numFmt w:val="bullet"/>
      <w:lvlText w:val=""/>
      <w:lvlJc w:val="left"/>
      <w:pPr>
        <w:tabs>
          <w:tab w:val="num" w:pos="4320"/>
        </w:tabs>
        <w:ind w:left="4320" w:hanging="360"/>
      </w:pPr>
      <w:rPr>
        <w:rFonts w:ascii="Wingdings" w:hAnsi="Wingdings" w:hint="default"/>
      </w:rPr>
    </w:lvl>
    <w:lvl w:ilvl="6" w:tplc="265A9292" w:tentative="1">
      <w:start w:val="1"/>
      <w:numFmt w:val="bullet"/>
      <w:lvlText w:val=""/>
      <w:lvlJc w:val="left"/>
      <w:pPr>
        <w:tabs>
          <w:tab w:val="num" w:pos="5040"/>
        </w:tabs>
        <w:ind w:left="5040" w:hanging="360"/>
      </w:pPr>
      <w:rPr>
        <w:rFonts w:ascii="Wingdings" w:hAnsi="Wingdings" w:hint="default"/>
      </w:rPr>
    </w:lvl>
    <w:lvl w:ilvl="7" w:tplc="96220370" w:tentative="1">
      <w:start w:val="1"/>
      <w:numFmt w:val="bullet"/>
      <w:lvlText w:val=""/>
      <w:lvlJc w:val="left"/>
      <w:pPr>
        <w:tabs>
          <w:tab w:val="num" w:pos="5760"/>
        </w:tabs>
        <w:ind w:left="5760" w:hanging="360"/>
      </w:pPr>
      <w:rPr>
        <w:rFonts w:ascii="Wingdings" w:hAnsi="Wingdings" w:hint="default"/>
      </w:rPr>
    </w:lvl>
    <w:lvl w:ilvl="8" w:tplc="1D280BA8" w:tentative="1">
      <w:start w:val="1"/>
      <w:numFmt w:val="bullet"/>
      <w:lvlText w:val=""/>
      <w:lvlJc w:val="left"/>
      <w:pPr>
        <w:tabs>
          <w:tab w:val="num" w:pos="6480"/>
        </w:tabs>
        <w:ind w:left="6480" w:hanging="360"/>
      </w:pPr>
      <w:rPr>
        <w:rFonts w:ascii="Wingdings" w:hAnsi="Wingdings" w:hint="default"/>
      </w:rPr>
    </w:lvl>
  </w:abstractNum>
  <w:abstractNum w:abstractNumId="4">
    <w:nsid w:val="20F33F54"/>
    <w:multiLevelType w:val="hybridMultilevel"/>
    <w:tmpl w:val="A2A2AC92"/>
    <w:lvl w:ilvl="0" w:tplc="A9548304">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nsid w:val="21C82969"/>
    <w:multiLevelType w:val="hybridMultilevel"/>
    <w:tmpl w:val="369439EE"/>
    <w:lvl w:ilvl="0" w:tplc="5CEC37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DE689E"/>
    <w:multiLevelType w:val="hybridMultilevel"/>
    <w:tmpl w:val="7D8CDB14"/>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nsid w:val="2625156E"/>
    <w:multiLevelType w:val="hybridMultilevel"/>
    <w:tmpl w:val="89449B3A"/>
    <w:lvl w:ilvl="0" w:tplc="040C0001">
      <w:start w:val="1"/>
      <w:numFmt w:val="bullet"/>
      <w:lvlText w:val=""/>
      <w:lvlJc w:val="left"/>
      <w:pPr>
        <w:tabs>
          <w:tab w:val="num" w:pos="1065"/>
        </w:tabs>
        <w:ind w:left="1065" w:hanging="360"/>
      </w:pPr>
      <w:rPr>
        <w:rFonts w:ascii="Symbol" w:hAnsi="Symbol"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
    <w:nsid w:val="28B32886"/>
    <w:multiLevelType w:val="hybridMultilevel"/>
    <w:tmpl w:val="7A6AC81C"/>
    <w:lvl w:ilvl="0" w:tplc="535432AC">
      <w:start w:val="1"/>
      <w:numFmt w:val="low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nsid w:val="2AC62CEF"/>
    <w:multiLevelType w:val="hybridMultilevel"/>
    <w:tmpl w:val="628AB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D9730E"/>
    <w:multiLevelType w:val="hybridMultilevel"/>
    <w:tmpl w:val="DA161338"/>
    <w:lvl w:ilvl="0" w:tplc="4442085A">
      <w:numFmt w:val="bullet"/>
      <w:lvlText w:val=""/>
      <w:lvlJc w:val="left"/>
      <w:pPr>
        <w:ind w:left="720" w:hanging="360"/>
      </w:pPr>
      <w:rPr>
        <w:rFonts w:ascii="Symbol" w:eastAsiaTheme="minorHAnsi" w:hAnsi="Symbol" w:cstheme="minorBid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nsid w:val="2CA61238"/>
    <w:multiLevelType w:val="hybridMultilevel"/>
    <w:tmpl w:val="D9A4094A"/>
    <w:lvl w:ilvl="0" w:tplc="380C000D">
      <w:start w:val="1"/>
      <w:numFmt w:val="bullet"/>
      <w:lvlText w:val=""/>
      <w:lvlJc w:val="left"/>
      <w:pPr>
        <w:ind w:left="870" w:hanging="51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nsid w:val="38B24AB6"/>
    <w:multiLevelType w:val="hybridMultilevel"/>
    <w:tmpl w:val="D6D4077E"/>
    <w:lvl w:ilvl="0" w:tplc="DFDC820C">
      <w:start w:val="1"/>
      <w:numFmt w:val="decimal"/>
      <w:lvlText w:val="%1."/>
      <w:lvlJc w:val="left"/>
      <w:pPr>
        <w:tabs>
          <w:tab w:val="num" w:pos="720"/>
        </w:tabs>
        <w:ind w:left="720" w:hanging="360"/>
      </w:pPr>
    </w:lvl>
    <w:lvl w:ilvl="1" w:tplc="964451CC" w:tentative="1">
      <w:start w:val="1"/>
      <w:numFmt w:val="decimal"/>
      <w:lvlText w:val="%2."/>
      <w:lvlJc w:val="left"/>
      <w:pPr>
        <w:tabs>
          <w:tab w:val="num" w:pos="1440"/>
        </w:tabs>
        <w:ind w:left="1440" w:hanging="360"/>
      </w:pPr>
    </w:lvl>
    <w:lvl w:ilvl="2" w:tplc="76041A70" w:tentative="1">
      <w:start w:val="1"/>
      <w:numFmt w:val="decimal"/>
      <w:lvlText w:val="%3."/>
      <w:lvlJc w:val="left"/>
      <w:pPr>
        <w:tabs>
          <w:tab w:val="num" w:pos="2160"/>
        </w:tabs>
        <w:ind w:left="2160" w:hanging="360"/>
      </w:pPr>
    </w:lvl>
    <w:lvl w:ilvl="3" w:tplc="ACCCB2C4" w:tentative="1">
      <w:start w:val="1"/>
      <w:numFmt w:val="decimal"/>
      <w:lvlText w:val="%4."/>
      <w:lvlJc w:val="left"/>
      <w:pPr>
        <w:tabs>
          <w:tab w:val="num" w:pos="2880"/>
        </w:tabs>
        <w:ind w:left="2880" w:hanging="360"/>
      </w:pPr>
    </w:lvl>
    <w:lvl w:ilvl="4" w:tplc="9FA4DA3C" w:tentative="1">
      <w:start w:val="1"/>
      <w:numFmt w:val="decimal"/>
      <w:lvlText w:val="%5."/>
      <w:lvlJc w:val="left"/>
      <w:pPr>
        <w:tabs>
          <w:tab w:val="num" w:pos="3600"/>
        </w:tabs>
        <w:ind w:left="3600" w:hanging="360"/>
      </w:pPr>
    </w:lvl>
    <w:lvl w:ilvl="5" w:tplc="A8A2D40C" w:tentative="1">
      <w:start w:val="1"/>
      <w:numFmt w:val="decimal"/>
      <w:lvlText w:val="%6."/>
      <w:lvlJc w:val="left"/>
      <w:pPr>
        <w:tabs>
          <w:tab w:val="num" w:pos="4320"/>
        </w:tabs>
        <w:ind w:left="4320" w:hanging="360"/>
      </w:pPr>
    </w:lvl>
    <w:lvl w:ilvl="6" w:tplc="70781B5A" w:tentative="1">
      <w:start w:val="1"/>
      <w:numFmt w:val="decimal"/>
      <w:lvlText w:val="%7."/>
      <w:lvlJc w:val="left"/>
      <w:pPr>
        <w:tabs>
          <w:tab w:val="num" w:pos="5040"/>
        </w:tabs>
        <w:ind w:left="5040" w:hanging="360"/>
      </w:pPr>
    </w:lvl>
    <w:lvl w:ilvl="7" w:tplc="A14694F8" w:tentative="1">
      <w:start w:val="1"/>
      <w:numFmt w:val="decimal"/>
      <w:lvlText w:val="%8."/>
      <w:lvlJc w:val="left"/>
      <w:pPr>
        <w:tabs>
          <w:tab w:val="num" w:pos="5760"/>
        </w:tabs>
        <w:ind w:left="5760" w:hanging="360"/>
      </w:pPr>
    </w:lvl>
    <w:lvl w:ilvl="8" w:tplc="7FBCDE36" w:tentative="1">
      <w:start w:val="1"/>
      <w:numFmt w:val="decimal"/>
      <w:lvlText w:val="%9."/>
      <w:lvlJc w:val="left"/>
      <w:pPr>
        <w:tabs>
          <w:tab w:val="num" w:pos="6480"/>
        </w:tabs>
        <w:ind w:left="6480" w:hanging="360"/>
      </w:pPr>
    </w:lvl>
  </w:abstractNum>
  <w:abstractNum w:abstractNumId="13">
    <w:nsid w:val="394E2678"/>
    <w:multiLevelType w:val="hybridMultilevel"/>
    <w:tmpl w:val="EB9C7B0E"/>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nsid w:val="3C182014"/>
    <w:multiLevelType w:val="hybridMultilevel"/>
    <w:tmpl w:val="A698ADA4"/>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nsid w:val="3C7F1C61"/>
    <w:multiLevelType w:val="hybridMultilevel"/>
    <w:tmpl w:val="FB22D1BA"/>
    <w:lvl w:ilvl="0" w:tplc="A718E7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912E47"/>
    <w:multiLevelType w:val="hybridMultilevel"/>
    <w:tmpl w:val="A43AF4B2"/>
    <w:lvl w:ilvl="0" w:tplc="15C817BA">
      <w:start w:val="1"/>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243567"/>
    <w:multiLevelType w:val="hybridMultilevel"/>
    <w:tmpl w:val="DD4A04B6"/>
    <w:lvl w:ilvl="0" w:tplc="538EDBC0">
      <w:numFmt w:val="bullet"/>
      <w:lvlText w:val="-"/>
      <w:lvlJc w:val="left"/>
      <w:pPr>
        <w:ind w:left="870" w:hanging="51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nsid w:val="4FFA6D38"/>
    <w:multiLevelType w:val="hybridMultilevel"/>
    <w:tmpl w:val="38C2FACC"/>
    <w:lvl w:ilvl="0" w:tplc="F11EBA58">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nsid w:val="53484626"/>
    <w:multiLevelType w:val="hybridMultilevel"/>
    <w:tmpl w:val="AA785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675993"/>
    <w:multiLevelType w:val="hybridMultilevel"/>
    <w:tmpl w:val="4D541BDE"/>
    <w:lvl w:ilvl="0" w:tplc="9C004B90">
      <w:numFmt w:val="bullet"/>
      <w:lvlText w:val="-"/>
      <w:lvlJc w:val="left"/>
      <w:pPr>
        <w:ind w:left="870" w:hanging="51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1">
    <w:nsid w:val="5A5B1F15"/>
    <w:multiLevelType w:val="hybridMultilevel"/>
    <w:tmpl w:val="5350A1EE"/>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nsid w:val="6116475D"/>
    <w:multiLevelType w:val="hybridMultilevel"/>
    <w:tmpl w:val="F21E302A"/>
    <w:lvl w:ilvl="0" w:tplc="380C0015">
      <w:start w:val="1"/>
      <w:numFmt w:val="upp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3">
    <w:nsid w:val="62DD0548"/>
    <w:multiLevelType w:val="hybridMultilevel"/>
    <w:tmpl w:val="A7808900"/>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nsid w:val="63690DCD"/>
    <w:multiLevelType w:val="hybridMultilevel"/>
    <w:tmpl w:val="2FBA6990"/>
    <w:lvl w:ilvl="0" w:tplc="38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5">
    <w:nsid w:val="64D810B7"/>
    <w:multiLevelType w:val="hybridMultilevel"/>
    <w:tmpl w:val="F184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B63DB7"/>
    <w:multiLevelType w:val="hybridMultilevel"/>
    <w:tmpl w:val="C9926928"/>
    <w:lvl w:ilvl="0" w:tplc="535432AC">
      <w:start w:val="1"/>
      <w:numFmt w:val="lowerRoman"/>
      <w:lvlText w:val="(%1)"/>
      <w:lvlJc w:val="left"/>
      <w:pPr>
        <w:ind w:left="1800" w:hanging="360"/>
      </w:pPr>
      <w:rPr>
        <w:rFonts w:hint="default"/>
      </w:rPr>
    </w:lvl>
    <w:lvl w:ilvl="1" w:tplc="380C0019" w:tentative="1">
      <w:start w:val="1"/>
      <w:numFmt w:val="lowerLetter"/>
      <w:lvlText w:val="%2."/>
      <w:lvlJc w:val="left"/>
      <w:pPr>
        <w:ind w:left="2520" w:hanging="360"/>
      </w:pPr>
    </w:lvl>
    <w:lvl w:ilvl="2" w:tplc="380C001B" w:tentative="1">
      <w:start w:val="1"/>
      <w:numFmt w:val="lowerRoman"/>
      <w:lvlText w:val="%3."/>
      <w:lvlJc w:val="right"/>
      <w:pPr>
        <w:ind w:left="3240" w:hanging="180"/>
      </w:pPr>
    </w:lvl>
    <w:lvl w:ilvl="3" w:tplc="380C000F" w:tentative="1">
      <w:start w:val="1"/>
      <w:numFmt w:val="decimal"/>
      <w:lvlText w:val="%4."/>
      <w:lvlJc w:val="left"/>
      <w:pPr>
        <w:ind w:left="3960" w:hanging="360"/>
      </w:pPr>
    </w:lvl>
    <w:lvl w:ilvl="4" w:tplc="380C0019" w:tentative="1">
      <w:start w:val="1"/>
      <w:numFmt w:val="lowerLetter"/>
      <w:lvlText w:val="%5."/>
      <w:lvlJc w:val="left"/>
      <w:pPr>
        <w:ind w:left="4680" w:hanging="360"/>
      </w:pPr>
    </w:lvl>
    <w:lvl w:ilvl="5" w:tplc="380C001B" w:tentative="1">
      <w:start w:val="1"/>
      <w:numFmt w:val="lowerRoman"/>
      <w:lvlText w:val="%6."/>
      <w:lvlJc w:val="right"/>
      <w:pPr>
        <w:ind w:left="5400" w:hanging="180"/>
      </w:pPr>
    </w:lvl>
    <w:lvl w:ilvl="6" w:tplc="380C000F" w:tentative="1">
      <w:start w:val="1"/>
      <w:numFmt w:val="decimal"/>
      <w:lvlText w:val="%7."/>
      <w:lvlJc w:val="left"/>
      <w:pPr>
        <w:ind w:left="6120" w:hanging="360"/>
      </w:pPr>
    </w:lvl>
    <w:lvl w:ilvl="7" w:tplc="380C0019" w:tentative="1">
      <w:start w:val="1"/>
      <w:numFmt w:val="lowerLetter"/>
      <w:lvlText w:val="%8."/>
      <w:lvlJc w:val="left"/>
      <w:pPr>
        <w:ind w:left="6840" w:hanging="360"/>
      </w:pPr>
    </w:lvl>
    <w:lvl w:ilvl="8" w:tplc="380C001B" w:tentative="1">
      <w:start w:val="1"/>
      <w:numFmt w:val="lowerRoman"/>
      <w:lvlText w:val="%9."/>
      <w:lvlJc w:val="right"/>
      <w:pPr>
        <w:ind w:left="7560" w:hanging="180"/>
      </w:pPr>
    </w:lvl>
  </w:abstractNum>
  <w:abstractNum w:abstractNumId="27">
    <w:nsid w:val="754F1C4B"/>
    <w:multiLevelType w:val="hybridMultilevel"/>
    <w:tmpl w:val="241C9A6C"/>
    <w:lvl w:ilvl="0" w:tplc="201AE5A2">
      <w:numFmt w:val="bullet"/>
      <w:lvlText w:val=""/>
      <w:lvlJc w:val="left"/>
      <w:pPr>
        <w:ind w:left="720" w:hanging="360"/>
      </w:pPr>
      <w:rPr>
        <w:rFonts w:ascii="Symbol" w:eastAsiaTheme="minorHAnsi" w:hAnsi="Symbol" w:cstheme="minorBid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8">
    <w:nsid w:val="7920231A"/>
    <w:multiLevelType w:val="hybridMultilevel"/>
    <w:tmpl w:val="A404CA66"/>
    <w:lvl w:ilvl="0" w:tplc="A718E7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756B30"/>
    <w:multiLevelType w:val="hybridMultilevel"/>
    <w:tmpl w:val="9A16EACE"/>
    <w:lvl w:ilvl="0" w:tplc="9B3CBD6C">
      <w:start w:val="1"/>
      <w:numFmt w:val="decimal"/>
      <w:lvlText w:val="%1."/>
      <w:lvlJc w:val="left"/>
      <w:pPr>
        <w:tabs>
          <w:tab w:val="num" w:pos="1065"/>
        </w:tabs>
        <w:ind w:left="1065" w:hanging="360"/>
      </w:pPr>
      <w:rPr>
        <w:rFonts w:hint="default"/>
        <w:b/>
        <w:bCs/>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
  </w:num>
  <w:num w:numId="2">
    <w:abstractNumId w:val="28"/>
  </w:num>
  <w:num w:numId="3">
    <w:abstractNumId w:val="15"/>
  </w:num>
  <w:num w:numId="4">
    <w:abstractNumId w:val="9"/>
  </w:num>
  <w:num w:numId="5">
    <w:abstractNumId w:val="19"/>
  </w:num>
  <w:num w:numId="6">
    <w:abstractNumId w:val="5"/>
  </w:num>
  <w:num w:numId="7">
    <w:abstractNumId w:val="2"/>
  </w:num>
  <w:num w:numId="8">
    <w:abstractNumId w:val="12"/>
  </w:num>
  <w:num w:numId="9">
    <w:abstractNumId w:val="7"/>
  </w:num>
  <w:num w:numId="10">
    <w:abstractNumId w:val="3"/>
  </w:num>
  <w:num w:numId="11">
    <w:abstractNumId w:val="0"/>
  </w:num>
  <w:num w:numId="12">
    <w:abstractNumId w:val="29"/>
  </w:num>
  <w:num w:numId="13">
    <w:abstractNumId w:val="25"/>
  </w:num>
  <w:num w:numId="14">
    <w:abstractNumId w:val="16"/>
  </w:num>
  <w:num w:numId="15">
    <w:abstractNumId w:val="6"/>
  </w:num>
  <w:num w:numId="16">
    <w:abstractNumId w:val="27"/>
  </w:num>
  <w:num w:numId="17">
    <w:abstractNumId w:val="23"/>
  </w:num>
  <w:num w:numId="18">
    <w:abstractNumId w:val="4"/>
  </w:num>
  <w:num w:numId="19">
    <w:abstractNumId w:val="24"/>
  </w:num>
  <w:num w:numId="20">
    <w:abstractNumId w:val="10"/>
  </w:num>
  <w:num w:numId="21">
    <w:abstractNumId w:val="18"/>
  </w:num>
  <w:num w:numId="22">
    <w:abstractNumId w:val="21"/>
  </w:num>
  <w:num w:numId="23">
    <w:abstractNumId w:val="20"/>
  </w:num>
  <w:num w:numId="24">
    <w:abstractNumId w:val="22"/>
  </w:num>
  <w:num w:numId="25">
    <w:abstractNumId w:val="13"/>
  </w:num>
  <w:num w:numId="26">
    <w:abstractNumId w:val="17"/>
  </w:num>
  <w:num w:numId="27">
    <w:abstractNumId w:val="11"/>
  </w:num>
  <w:num w:numId="28">
    <w:abstractNumId w:val="14"/>
  </w:num>
  <w:num w:numId="29">
    <w:abstractNumId w:val="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7C148F"/>
    <w:rsid w:val="0000633C"/>
    <w:rsid w:val="00014F5A"/>
    <w:rsid w:val="00026049"/>
    <w:rsid w:val="0002776D"/>
    <w:rsid w:val="00027A35"/>
    <w:rsid w:val="000315A2"/>
    <w:rsid w:val="00051A7D"/>
    <w:rsid w:val="00055EAD"/>
    <w:rsid w:val="0005728B"/>
    <w:rsid w:val="00062DA1"/>
    <w:rsid w:val="000725B2"/>
    <w:rsid w:val="00076572"/>
    <w:rsid w:val="000772A6"/>
    <w:rsid w:val="000814F1"/>
    <w:rsid w:val="000851C6"/>
    <w:rsid w:val="00093584"/>
    <w:rsid w:val="00094989"/>
    <w:rsid w:val="00097042"/>
    <w:rsid w:val="000A1FBB"/>
    <w:rsid w:val="000A5DFC"/>
    <w:rsid w:val="000B34B8"/>
    <w:rsid w:val="000B3E29"/>
    <w:rsid w:val="000B5370"/>
    <w:rsid w:val="000C283F"/>
    <w:rsid w:val="000C5F1A"/>
    <w:rsid w:val="000E01BA"/>
    <w:rsid w:val="000E0F8C"/>
    <w:rsid w:val="000E2E02"/>
    <w:rsid w:val="000F0F25"/>
    <w:rsid w:val="000F1985"/>
    <w:rsid w:val="000F1F63"/>
    <w:rsid w:val="000F2E18"/>
    <w:rsid w:val="000F39E9"/>
    <w:rsid w:val="000F52F6"/>
    <w:rsid w:val="000F531D"/>
    <w:rsid w:val="000F5835"/>
    <w:rsid w:val="000F69C0"/>
    <w:rsid w:val="001039FB"/>
    <w:rsid w:val="00110139"/>
    <w:rsid w:val="001115B1"/>
    <w:rsid w:val="00134620"/>
    <w:rsid w:val="001347E7"/>
    <w:rsid w:val="00147206"/>
    <w:rsid w:val="00147665"/>
    <w:rsid w:val="00151CBD"/>
    <w:rsid w:val="00180789"/>
    <w:rsid w:val="00190C26"/>
    <w:rsid w:val="00193E31"/>
    <w:rsid w:val="001A6E09"/>
    <w:rsid w:val="001B48F2"/>
    <w:rsid w:val="001B5E33"/>
    <w:rsid w:val="001C2EC6"/>
    <w:rsid w:val="001D028E"/>
    <w:rsid w:val="001D1AD8"/>
    <w:rsid w:val="001D1C7B"/>
    <w:rsid w:val="001E0778"/>
    <w:rsid w:val="001E2B71"/>
    <w:rsid w:val="001E40B9"/>
    <w:rsid w:val="001F1FAE"/>
    <w:rsid w:val="001F4EA9"/>
    <w:rsid w:val="00205D8D"/>
    <w:rsid w:val="002135A0"/>
    <w:rsid w:val="00220239"/>
    <w:rsid w:val="00223CCC"/>
    <w:rsid w:val="002256C9"/>
    <w:rsid w:val="00235636"/>
    <w:rsid w:val="002424B5"/>
    <w:rsid w:val="002464FD"/>
    <w:rsid w:val="00262FB0"/>
    <w:rsid w:val="00266707"/>
    <w:rsid w:val="0027050F"/>
    <w:rsid w:val="00277F4C"/>
    <w:rsid w:val="002919E6"/>
    <w:rsid w:val="00292B61"/>
    <w:rsid w:val="002D42A2"/>
    <w:rsid w:val="002D5F5B"/>
    <w:rsid w:val="002D79B0"/>
    <w:rsid w:val="002E006D"/>
    <w:rsid w:val="002E3251"/>
    <w:rsid w:val="002E5C28"/>
    <w:rsid w:val="002F1AD2"/>
    <w:rsid w:val="0030393D"/>
    <w:rsid w:val="00314547"/>
    <w:rsid w:val="00321BEB"/>
    <w:rsid w:val="0032466C"/>
    <w:rsid w:val="003308E0"/>
    <w:rsid w:val="003405EB"/>
    <w:rsid w:val="003407A8"/>
    <w:rsid w:val="00342E73"/>
    <w:rsid w:val="00345251"/>
    <w:rsid w:val="00346023"/>
    <w:rsid w:val="003460A7"/>
    <w:rsid w:val="0035651E"/>
    <w:rsid w:val="00372D5E"/>
    <w:rsid w:val="003875B7"/>
    <w:rsid w:val="00391BD5"/>
    <w:rsid w:val="00392929"/>
    <w:rsid w:val="0039348F"/>
    <w:rsid w:val="00394A1A"/>
    <w:rsid w:val="003A145D"/>
    <w:rsid w:val="003A3F55"/>
    <w:rsid w:val="003C46B4"/>
    <w:rsid w:val="003E209A"/>
    <w:rsid w:val="003F3FA7"/>
    <w:rsid w:val="004019E2"/>
    <w:rsid w:val="0041286D"/>
    <w:rsid w:val="00412FC3"/>
    <w:rsid w:val="00417365"/>
    <w:rsid w:val="0042418E"/>
    <w:rsid w:val="00433B14"/>
    <w:rsid w:val="004459E0"/>
    <w:rsid w:val="004476EE"/>
    <w:rsid w:val="00450097"/>
    <w:rsid w:val="00470B51"/>
    <w:rsid w:val="00477EBA"/>
    <w:rsid w:val="00480743"/>
    <w:rsid w:val="0049279B"/>
    <w:rsid w:val="00494017"/>
    <w:rsid w:val="004975EC"/>
    <w:rsid w:val="004B4657"/>
    <w:rsid w:val="004B513F"/>
    <w:rsid w:val="004B52BB"/>
    <w:rsid w:val="004C00E3"/>
    <w:rsid w:val="004C1CB1"/>
    <w:rsid w:val="004C354F"/>
    <w:rsid w:val="004D00AF"/>
    <w:rsid w:val="005044F2"/>
    <w:rsid w:val="00506D59"/>
    <w:rsid w:val="00511D0B"/>
    <w:rsid w:val="005132F8"/>
    <w:rsid w:val="005157E5"/>
    <w:rsid w:val="00532515"/>
    <w:rsid w:val="0054155A"/>
    <w:rsid w:val="00541E2B"/>
    <w:rsid w:val="00550D67"/>
    <w:rsid w:val="00563380"/>
    <w:rsid w:val="00565295"/>
    <w:rsid w:val="0057027D"/>
    <w:rsid w:val="00575FAB"/>
    <w:rsid w:val="005A4AA9"/>
    <w:rsid w:val="005A78B1"/>
    <w:rsid w:val="005F210F"/>
    <w:rsid w:val="0060060E"/>
    <w:rsid w:val="00604DB4"/>
    <w:rsid w:val="00607031"/>
    <w:rsid w:val="0061114F"/>
    <w:rsid w:val="00632AF8"/>
    <w:rsid w:val="00634050"/>
    <w:rsid w:val="0064168E"/>
    <w:rsid w:val="006418BF"/>
    <w:rsid w:val="006532D8"/>
    <w:rsid w:val="006604B7"/>
    <w:rsid w:val="00675010"/>
    <w:rsid w:val="00683430"/>
    <w:rsid w:val="00683D66"/>
    <w:rsid w:val="006855D9"/>
    <w:rsid w:val="00691322"/>
    <w:rsid w:val="006A410D"/>
    <w:rsid w:val="006B7997"/>
    <w:rsid w:val="006E2640"/>
    <w:rsid w:val="006F2F1A"/>
    <w:rsid w:val="006F3958"/>
    <w:rsid w:val="006F4D44"/>
    <w:rsid w:val="006F6BEE"/>
    <w:rsid w:val="0070092D"/>
    <w:rsid w:val="007052B1"/>
    <w:rsid w:val="00711431"/>
    <w:rsid w:val="00712576"/>
    <w:rsid w:val="00713940"/>
    <w:rsid w:val="00725899"/>
    <w:rsid w:val="0073072D"/>
    <w:rsid w:val="007344EF"/>
    <w:rsid w:val="00736122"/>
    <w:rsid w:val="0074382D"/>
    <w:rsid w:val="00750CDD"/>
    <w:rsid w:val="00752F2C"/>
    <w:rsid w:val="00753260"/>
    <w:rsid w:val="007663F8"/>
    <w:rsid w:val="00782E07"/>
    <w:rsid w:val="00783BE3"/>
    <w:rsid w:val="007941E1"/>
    <w:rsid w:val="007A16AF"/>
    <w:rsid w:val="007A4670"/>
    <w:rsid w:val="007B3BF7"/>
    <w:rsid w:val="007B6546"/>
    <w:rsid w:val="007C148F"/>
    <w:rsid w:val="007C4CF0"/>
    <w:rsid w:val="007C6C20"/>
    <w:rsid w:val="007D2E43"/>
    <w:rsid w:val="007E1B2E"/>
    <w:rsid w:val="007E471B"/>
    <w:rsid w:val="007F1FF2"/>
    <w:rsid w:val="00807994"/>
    <w:rsid w:val="008111A1"/>
    <w:rsid w:val="00813A29"/>
    <w:rsid w:val="008275C1"/>
    <w:rsid w:val="00840E2C"/>
    <w:rsid w:val="008418A7"/>
    <w:rsid w:val="008606FC"/>
    <w:rsid w:val="00865F97"/>
    <w:rsid w:val="00867651"/>
    <w:rsid w:val="00872F7F"/>
    <w:rsid w:val="00873AF1"/>
    <w:rsid w:val="008748BA"/>
    <w:rsid w:val="00892BE5"/>
    <w:rsid w:val="00893309"/>
    <w:rsid w:val="008A259D"/>
    <w:rsid w:val="008A34E4"/>
    <w:rsid w:val="008B03A7"/>
    <w:rsid w:val="008B11C9"/>
    <w:rsid w:val="008B517E"/>
    <w:rsid w:val="008C1EAA"/>
    <w:rsid w:val="008C2093"/>
    <w:rsid w:val="008C5440"/>
    <w:rsid w:val="008D2835"/>
    <w:rsid w:val="008D2C36"/>
    <w:rsid w:val="008D671F"/>
    <w:rsid w:val="008E3804"/>
    <w:rsid w:val="008E7159"/>
    <w:rsid w:val="008F15D3"/>
    <w:rsid w:val="008F4948"/>
    <w:rsid w:val="008F61A5"/>
    <w:rsid w:val="00903116"/>
    <w:rsid w:val="00903FAE"/>
    <w:rsid w:val="0091636B"/>
    <w:rsid w:val="00917EB6"/>
    <w:rsid w:val="0092125D"/>
    <w:rsid w:val="0092366F"/>
    <w:rsid w:val="00923A91"/>
    <w:rsid w:val="0093101B"/>
    <w:rsid w:val="009329E5"/>
    <w:rsid w:val="009336CB"/>
    <w:rsid w:val="00937BC3"/>
    <w:rsid w:val="00941CF1"/>
    <w:rsid w:val="00942601"/>
    <w:rsid w:val="00956DEF"/>
    <w:rsid w:val="0096242F"/>
    <w:rsid w:val="009740ED"/>
    <w:rsid w:val="00974751"/>
    <w:rsid w:val="00980F30"/>
    <w:rsid w:val="00985424"/>
    <w:rsid w:val="0098607A"/>
    <w:rsid w:val="00990BDF"/>
    <w:rsid w:val="00992531"/>
    <w:rsid w:val="00997CDB"/>
    <w:rsid w:val="009A40C5"/>
    <w:rsid w:val="009A45FD"/>
    <w:rsid w:val="009B35FA"/>
    <w:rsid w:val="009C2A01"/>
    <w:rsid w:val="009E183F"/>
    <w:rsid w:val="009F2D31"/>
    <w:rsid w:val="00A027CC"/>
    <w:rsid w:val="00A20379"/>
    <w:rsid w:val="00A21F99"/>
    <w:rsid w:val="00A2274E"/>
    <w:rsid w:val="00A24A55"/>
    <w:rsid w:val="00A309E9"/>
    <w:rsid w:val="00A3262B"/>
    <w:rsid w:val="00A32C1A"/>
    <w:rsid w:val="00A338AA"/>
    <w:rsid w:val="00A353E3"/>
    <w:rsid w:val="00A3551A"/>
    <w:rsid w:val="00A37F70"/>
    <w:rsid w:val="00A37FB0"/>
    <w:rsid w:val="00A474F0"/>
    <w:rsid w:val="00A565D4"/>
    <w:rsid w:val="00A57EE1"/>
    <w:rsid w:val="00A71982"/>
    <w:rsid w:val="00A72481"/>
    <w:rsid w:val="00A76596"/>
    <w:rsid w:val="00A83CDF"/>
    <w:rsid w:val="00A8527E"/>
    <w:rsid w:val="00A96978"/>
    <w:rsid w:val="00AA22F6"/>
    <w:rsid w:val="00AA4799"/>
    <w:rsid w:val="00AA497D"/>
    <w:rsid w:val="00AA50C5"/>
    <w:rsid w:val="00AA682D"/>
    <w:rsid w:val="00AA7F30"/>
    <w:rsid w:val="00AB175F"/>
    <w:rsid w:val="00AB3E02"/>
    <w:rsid w:val="00AB48BC"/>
    <w:rsid w:val="00AB4E55"/>
    <w:rsid w:val="00AB6D91"/>
    <w:rsid w:val="00AD71AE"/>
    <w:rsid w:val="00AF23DF"/>
    <w:rsid w:val="00AF27EA"/>
    <w:rsid w:val="00AF3C26"/>
    <w:rsid w:val="00AF5670"/>
    <w:rsid w:val="00AF65D2"/>
    <w:rsid w:val="00AF73EE"/>
    <w:rsid w:val="00B06613"/>
    <w:rsid w:val="00B06712"/>
    <w:rsid w:val="00B20EBF"/>
    <w:rsid w:val="00B3006A"/>
    <w:rsid w:val="00B32F9F"/>
    <w:rsid w:val="00B35357"/>
    <w:rsid w:val="00B35F65"/>
    <w:rsid w:val="00B63A65"/>
    <w:rsid w:val="00B64BFD"/>
    <w:rsid w:val="00B7711F"/>
    <w:rsid w:val="00B810D0"/>
    <w:rsid w:val="00B95031"/>
    <w:rsid w:val="00BA0439"/>
    <w:rsid w:val="00BA06FB"/>
    <w:rsid w:val="00BA2517"/>
    <w:rsid w:val="00BB19E3"/>
    <w:rsid w:val="00BB3E92"/>
    <w:rsid w:val="00BB4D8C"/>
    <w:rsid w:val="00BC7184"/>
    <w:rsid w:val="00BC7221"/>
    <w:rsid w:val="00BD642F"/>
    <w:rsid w:val="00BD79C3"/>
    <w:rsid w:val="00BE286E"/>
    <w:rsid w:val="00BE310F"/>
    <w:rsid w:val="00BE47F9"/>
    <w:rsid w:val="00BF0C98"/>
    <w:rsid w:val="00BF2D78"/>
    <w:rsid w:val="00BF4BB5"/>
    <w:rsid w:val="00C00480"/>
    <w:rsid w:val="00C039FC"/>
    <w:rsid w:val="00C12817"/>
    <w:rsid w:val="00C25D63"/>
    <w:rsid w:val="00C50600"/>
    <w:rsid w:val="00C5459E"/>
    <w:rsid w:val="00C616BC"/>
    <w:rsid w:val="00C64B6F"/>
    <w:rsid w:val="00C66294"/>
    <w:rsid w:val="00C663DC"/>
    <w:rsid w:val="00C67D29"/>
    <w:rsid w:val="00C7491A"/>
    <w:rsid w:val="00C83C53"/>
    <w:rsid w:val="00C94C06"/>
    <w:rsid w:val="00C95190"/>
    <w:rsid w:val="00CA239C"/>
    <w:rsid w:val="00CB1E11"/>
    <w:rsid w:val="00CB36FE"/>
    <w:rsid w:val="00CC51C8"/>
    <w:rsid w:val="00CE7B8D"/>
    <w:rsid w:val="00D06E4A"/>
    <w:rsid w:val="00D072B2"/>
    <w:rsid w:val="00D121CC"/>
    <w:rsid w:val="00D12635"/>
    <w:rsid w:val="00D1265E"/>
    <w:rsid w:val="00D17165"/>
    <w:rsid w:val="00D251F5"/>
    <w:rsid w:val="00D3426A"/>
    <w:rsid w:val="00D44C29"/>
    <w:rsid w:val="00D46F1F"/>
    <w:rsid w:val="00D512B5"/>
    <w:rsid w:val="00D5743A"/>
    <w:rsid w:val="00D676E4"/>
    <w:rsid w:val="00D767C5"/>
    <w:rsid w:val="00D806A2"/>
    <w:rsid w:val="00D96A77"/>
    <w:rsid w:val="00DA5CB2"/>
    <w:rsid w:val="00DB1DA7"/>
    <w:rsid w:val="00DB56A3"/>
    <w:rsid w:val="00DB5716"/>
    <w:rsid w:val="00DB6DA1"/>
    <w:rsid w:val="00DC6168"/>
    <w:rsid w:val="00DD645E"/>
    <w:rsid w:val="00DD6D2B"/>
    <w:rsid w:val="00DD7813"/>
    <w:rsid w:val="00E37199"/>
    <w:rsid w:val="00E3774B"/>
    <w:rsid w:val="00E41874"/>
    <w:rsid w:val="00E5227D"/>
    <w:rsid w:val="00E54D24"/>
    <w:rsid w:val="00E551F6"/>
    <w:rsid w:val="00E56DF5"/>
    <w:rsid w:val="00E766CF"/>
    <w:rsid w:val="00E77CEB"/>
    <w:rsid w:val="00E852B1"/>
    <w:rsid w:val="00EA1787"/>
    <w:rsid w:val="00EC32CE"/>
    <w:rsid w:val="00EC491C"/>
    <w:rsid w:val="00ED268B"/>
    <w:rsid w:val="00ED5B47"/>
    <w:rsid w:val="00EE39FE"/>
    <w:rsid w:val="00EF2B2C"/>
    <w:rsid w:val="00F00F36"/>
    <w:rsid w:val="00F0372A"/>
    <w:rsid w:val="00F0511D"/>
    <w:rsid w:val="00F05B9F"/>
    <w:rsid w:val="00F14E33"/>
    <w:rsid w:val="00F24056"/>
    <w:rsid w:val="00F254F8"/>
    <w:rsid w:val="00F36DF7"/>
    <w:rsid w:val="00F471E7"/>
    <w:rsid w:val="00F50962"/>
    <w:rsid w:val="00F54372"/>
    <w:rsid w:val="00F56CA8"/>
    <w:rsid w:val="00F63A04"/>
    <w:rsid w:val="00F70B7F"/>
    <w:rsid w:val="00F8365E"/>
    <w:rsid w:val="00F858A0"/>
    <w:rsid w:val="00F91DC7"/>
    <w:rsid w:val="00F94626"/>
    <w:rsid w:val="00FA4C56"/>
    <w:rsid w:val="00FB495B"/>
    <w:rsid w:val="00FB600B"/>
    <w:rsid w:val="00FC42CF"/>
    <w:rsid w:val="00FC5A62"/>
    <w:rsid w:val="00FD2B55"/>
    <w:rsid w:val="00FD46D6"/>
    <w:rsid w:val="00FD6263"/>
    <w:rsid w:val="00FE78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78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813"/>
    <w:rPr>
      <w:rFonts w:ascii="Tahoma" w:hAnsi="Tahoma" w:cs="Tahoma"/>
      <w:sz w:val="16"/>
      <w:szCs w:val="16"/>
    </w:rPr>
  </w:style>
  <w:style w:type="paragraph" w:styleId="En-tte">
    <w:name w:val="header"/>
    <w:basedOn w:val="Normal"/>
    <w:link w:val="En-tteCar"/>
    <w:rsid w:val="00DD7813"/>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DD781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D78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813"/>
  </w:style>
  <w:style w:type="paragraph" w:styleId="Paragraphedeliste">
    <w:name w:val="List Paragraph"/>
    <w:basedOn w:val="Normal"/>
    <w:uiPriority w:val="34"/>
    <w:qFormat/>
    <w:rsid w:val="007C4CF0"/>
    <w:pPr>
      <w:ind w:left="720"/>
      <w:contextualSpacing/>
    </w:pPr>
  </w:style>
  <w:style w:type="character" w:styleId="Lienhypertexte">
    <w:name w:val="Hyperlink"/>
    <w:basedOn w:val="Policepardfaut"/>
    <w:uiPriority w:val="99"/>
    <w:semiHidden/>
    <w:unhideWhenUsed/>
    <w:rsid w:val="00A8527E"/>
    <w:rPr>
      <w:color w:val="0000FF"/>
      <w:u w:val="single"/>
    </w:rPr>
  </w:style>
  <w:style w:type="paragraph" w:styleId="Corpsdetexte">
    <w:name w:val="Body Text"/>
    <w:basedOn w:val="Normal"/>
    <w:link w:val="CorpsdetexteCar"/>
    <w:rsid w:val="007052B1"/>
    <w:pPr>
      <w:spacing w:after="0" w:line="240" w:lineRule="auto"/>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rsid w:val="007052B1"/>
    <w:rPr>
      <w:rFonts w:ascii="Times New Roman" w:eastAsia="Times New Roman" w:hAnsi="Times New Roman" w:cs="Times New Roman"/>
      <w:sz w:val="20"/>
      <w:szCs w:val="24"/>
      <w:lang w:eastAsia="fr-FR"/>
    </w:rPr>
  </w:style>
  <w:style w:type="character" w:customStyle="1" w:styleId="lang-en">
    <w:name w:val="lang-en"/>
    <w:basedOn w:val="Policepardfaut"/>
    <w:rsid w:val="00C83C53"/>
  </w:style>
  <w:style w:type="table" w:styleId="Grilledutableau">
    <w:name w:val="Table Grid"/>
    <w:basedOn w:val="TableauNormal"/>
    <w:uiPriority w:val="59"/>
    <w:rsid w:val="00903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D79B0"/>
    <w:pPr>
      <w:spacing w:before="100" w:beforeAutospacing="1" w:after="100" w:afterAutospacing="1" w:line="240" w:lineRule="auto"/>
    </w:pPr>
    <w:rPr>
      <w:rFonts w:ascii="Times New Roman" w:eastAsia="Times New Roman" w:hAnsi="Times New Roman" w:cs="Times New Roman"/>
      <w:sz w:val="24"/>
      <w:szCs w:val="24"/>
      <w:lang w:val="fr-MA" w:eastAsia="fr-MA"/>
    </w:rPr>
  </w:style>
</w:styles>
</file>

<file path=word/webSettings.xml><?xml version="1.0" encoding="utf-8"?>
<w:webSettings xmlns:r="http://schemas.openxmlformats.org/officeDocument/2006/relationships" xmlns:w="http://schemas.openxmlformats.org/wordprocessingml/2006/main">
  <w:divs>
    <w:div w:id="1141118699">
      <w:bodyDiv w:val="1"/>
      <w:marLeft w:val="0"/>
      <w:marRight w:val="0"/>
      <w:marTop w:val="0"/>
      <w:marBottom w:val="0"/>
      <w:divBdr>
        <w:top w:val="none" w:sz="0" w:space="0" w:color="auto"/>
        <w:left w:val="none" w:sz="0" w:space="0" w:color="auto"/>
        <w:bottom w:val="none" w:sz="0" w:space="0" w:color="auto"/>
        <w:right w:val="none" w:sz="0" w:space="0" w:color="auto"/>
      </w:divBdr>
    </w:div>
    <w:div w:id="1391806096">
      <w:bodyDiv w:val="1"/>
      <w:marLeft w:val="0"/>
      <w:marRight w:val="0"/>
      <w:marTop w:val="0"/>
      <w:marBottom w:val="0"/>
      <w:divBdr>
        <w:top w:val="none" w:sz="0" w:space="0" w:color="auto"/>
        <w:left w:val="none" w:sz="0" w:space="0" w:color="auto"/>
        <w:bottom w:val="none" w:sz="0" w:space="0" w:color="auto"/>
        <w:right w:val="none" w:sz="0" w:space="0" w:color="auto"/>
      </w:divBdr>
      <w:divsChild>
        <w:div w:id="1024943444">
          <w:marLeft w:val="720"/>
          <w:marRight w:val="0"/>
          <w:marTop w:val="0"/>
          <w:marBottom w:val="0"/>
          <w:divBdr>
            <w:top w:val="none" w:sz="0" w:space="0" w:color="auto"/>
            <w:left w:val="none" w:sz="0" w:space="0" w:color="auto"/>
            <w:bottom w:val="none" w:sz="0" w:space="0" w:color="auto"/>
            <w:right w:val="none" w:sz="0" w:space="0" w:color="auto"/>
          </w:divBdr>
        </w:div>
        <w:div w:id="2629225">
          <w:marLeft w:val="720"/>
          <w:marRight w:val="0"/>
          <w:marTop w:val="0"/>
          <w:marBottom w:val="0"/>
          <w:divBdr>
            <w:top w:val="none" w:sz="0" w:space="0" w:color="auto"/>
            <w:left w:val="none" w:sz="0" w:space="0" w:color="auto"/>
            <w:bottom w:val="none" w:sz="0" w:space="0" w:color="auto"/>
            <w:right w:val="none" w:sz="0" w:space="0" w:color="auto"/>
          </w:divBdr>
        </w:div>
        <w:div w:id="1094940201">
          <w:marLeft w:val="720"/>
          <w:marRight w:val="0"/>
          <w:marTop w:val="0"/>
          <w:marBottom w:val="0"/>
          <w:divBdr>
            <w:top w:val="none" w:sz="0" w:space="0" w:color="auto"/>
            <w:left w:val="none" w:sz="0" w:space="0" w:color="auto"/>
            <w:bottom w:val="none" w:sz="0" w:space="0" w:color="auto"/>
            <w:right w:val="none" w:sz="0" w:space="0" w:color="auto"/>
          </w:divBdr>
        </w:div>
        <w:div w:id="794374899">
          <w:marLeft w:val="720"/>
          <w:marRight w:val="0"/>
          <w:marTop w:val="0"/>
          <w:marBottom w:val="0"/>
          <w:divBdr>
            <w:top w:val="none" w:sz="0" w:space="0" w:color="auto"/>
            <w:left w:val="none" w:sz="0" w:space="0" w:color="auto"/>
            <w:bottom w:val="none" w:sz="0" w:space="0" w:color="auto"/>
            <w:right w:val="none" w:sz="0" w:space="0" w:color="auto"/>
          </w:divBdr>
        </w:div>
        <w:div w:id="687369259">
          <w:marLeft w:val="720"/>
          <w:marRight w:val="0"/>
          <w:marTop w:val="0"/>
          <w:marBottom w:val="0"/>
          <w:divBdr>
            <w:top w:val="none" w:sz="0" w:space="0" w:color="auto"/>
            <w:left w:val="none" w:sz="0" w:space="0" w:color="auto"/>
            <w:bottom w:val="none" w:sz="0" w:space="0" w:color="auto"/>
            <w:right w:val="none" w:sz="0" w:space="0" w:color="auto"/>
          </w:divBdr>
        </w:div>
        <w:div w:id="1388072194">
          <w:marLeft w:val="720"/>
          <w:marRight w:val="0"/>
          <w:marTop w:val="0"/>
          <w:marBottom w:val="0"/>
          <w:divBdr>
            <w:top w:val="none" w:sz="0" w:space="0" w:color="auto"/>
            <w:left w:val="none" w:sz="0" w:space="0" w:color="auto"/>
            <w:bottom w:val="none" w:sz="0" w:space="0" w:color="auto"/>
            <w:right w:val="none" w:sz="0" w:space="0" w:color="auto"/>
          </w:divBdr>
        </w:div>
      </w:divsChild>
    </w:div>
    <w:div w:id="1996762228">
      <w:bodyDiv w:val="1"/>
      <w:marLeft w:val="0"/>
      <w:marRight w:val="0"/>
      <w:marTop w:val="0"/>
      <w:marBottom w:val="0"/>
      <w:divBdr>
        <w:top w:val="none" w:sz="0" w:space="0" w:color="auto"/>
        <w:left w:val="none" w:sz="0" w:space="0" w:color="auto"/>
        <w:bottom w:val="none" w:sz="0" w:space="0" w:color="auto"/>
        <w:right w:val="none" w:sz="0" w:space="0" w:color="auto"/>
      </w:divBdr>
      <w:divsChild>
        <w:div w:id="1568417594">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1F49-977C-4F9B-9C76-BD6BD826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2482</Words>
  <Characters>13652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4</cp:revision>
  <cp:lastPrinted>2021-10-03T21:07:00Z</cp:lastPrinted>
  <dcterms:created xsi:type="dcterms:W3CDTF">2022-11-05T08:59:00Z</dcterms:created>
  <dcterms:modified xsi:type="dcterms:W3CDTF">2023-03-29T12:52:00Z</dcterms:modified>
</cp:coreProperties>
</file>